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AA3F0E" w:rsidRPr="00AA3F0E" w:rsidTr="00AA3F0E">
        <w:tc>
          <w:tcPr>
            <w:tcW w:w="9708" w:type="dxa"/>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232" w:after="116"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7690" cy="759460"/>
                  <wp:effectExtent l="19050" t="0" r="381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67690" cy="759460"/>
                          </a:xfrm>
                          <a:prstGeom prst="rect">
                            <a:avLst/>
                          </a:prstGeom>
                          <a:noFill/>
                          <a:ln w="9525">
                            <a:noFill/>
                            <a:miter lim="800000"/>
                            <a:headEnd/>
                            <a:tailEnd/>
                          </a:ln>
                        </pic:spPr>
                      </pic:pic>
                    </a:graphicData>
                  </a:graphic>
                </wp:inline>
              </w:drawing>
            </w:r>
          </w:p>
        </w:tc>
      </w:tr>
      <w:tr w:rsidR="00AA3F0E" w:rsidRPr="00AA3F0E" w:rsidTr="00AA3F0E">
        <w:tc>
          <w:tcPr>
            <w:tcW w:w="9708" w:type="dxa"/>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0" w:line="240" w:lineRule="auto"/>
              <w:jc w:val="center"/>
              <w:rPr>
                <w:rFonts w:ascii="Times New Roman" w:eastAsia="Times New Roman" w:hAnsi="Times New Roman" w:cs="Times New Roman"/>
                <w:sz w:val="24"/>
                <w:szCs w:val="24"/>
                <w:lang w:eastAsia="ru-RU"/>
              </w:rPr>
            </w:pPr>
            <w:r w:rsidRPr="00AA3F0E">
              <w:rPr>
                <w:rFonts w:ascii="Times New Roman" w:eastAsia="Times New Roman" w:hAnsi="Times New Roman" w:cs="Times New Roman"/>
                <w:b/>
                <w:bCs/>
                <w:sz w:val="28"/>
                <w:lang w:eastAsia="ru-RU"/>
              </w:rPr>
              <w:t>МІНІСТЕРСТВО ЕКОНОМІЧНОГО РОЗВИТКУ І ТОРГІВЛІ УКРАЇНИ</w:t>
            </w:r>
          </w:p>
        </w:tc>
      </w:tr>
      <w:tr w:rsidR="00AA3F0E" w:rsidRPr="00AA3F0E" w:rsidTr="00AA3F0E">
        <w:tc>
          <w:tcPr>
            <w:tcW w:w="9708" w:type="dxa"/>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232" w:after="116" w:line="240" w:lineRule="auto"/>
              <w:jc w:val="center"/>
              <w:rPr>
                <w:rFonts w:ascii="Times New Roman" w:eastAsia="Times New Roman" w:hAnsi="Times New Roman" w:cs="Times New Roman"/>
                <w:sz w:val="24"/>
                <w:szCs w:val="24"/>
                <w:lang w:eastAsia="ru-RU"/>
              </w:rPr>
            </w:pPr>
            <w:r w:rsidRPr="00AA3F0E">
              <w:rPr>
                <w:rFonts w:ascii="Times New Roman" w:eastAsia="Times New Roman" w:hAnsi="Times New Roman" w:cs="Times New Roman"/>
                <w:b/>
                <w:bCs/>
                <w:sz w:val="32"/>
                <w:lang w:eastAsia="ru-RU"/>
              </w:rPr>
              <w:t>НАКАЗ</w:t>
            </w:r>
          </w:p>
        </w:tc>
      </w:tr>
      <w:tr w:rsidR="00AA3F0E" w:rsidRPr="00AA3F0E" w:rsidTr="00AA3F0E">
        <w:tc>
          <w:tcPr>
            <w:tcW w:w="9708" w:type="dxa"/>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ind w:left="348" w:right="348"/>
              <w:jc w:val="center"/>
              <w:rPr>
                <w:rFonts w:ascii="Times New Roman" w:eastAsia="Times New Roman" w:hAnsi="Times New Roman" w:cs="Times New Roman"/>
                <w:sz w:val="24"/>
                <w:szCs w:val="24"/>
                <w:lang w:eastAsia="ru-RU"/>
              </w:rPr>
            </w:pPr>
            <w:r w:rsidRPr="00AA3F0E">
              <w:rPr>
                <w:rFonts w:ascii="Times New Roman" w:eastAsia="Times New Roman" w:hAnsi="Times New Roman" w:cs="Times New Roman"/>
                <w:b/>
                <w:bCs/>
                <w:sz w:val="24"/>
                <w:szCs w:val="24"/>
                <w:lang w:eastAsia="ru-RU"/>
              </w:rPr>
              <w:t>06.03.2019  № 358</w:t>
            </w:r>
          </w:p>
        </w:tc>
      </w:tr>
      <w:tr w:rsidR="00AA3F0E" w:rsidRPr="00AA3F0E" w:rsidTr="00AA3F0E">
        <w:tc>
          <w:tcPr>
            <w:tcW w:w="3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bookmarkStart w:id="0" w:name="n3"/>
            <w:bookmarkEnd w:id="0"/>
            <w:r w:rsidRPr="00AA3F0E">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r w:rsidRPr="00AA3F0E">
              <w:rPr>
                <w:rFonts w:ascii="Times New Roman" w:eastAsia="Times New Roman" w:hAnsi="Times New Roman" w:cs="Times New Roman"/>
                <w:b/>
                <w:bCs/>
                <w:sz w:val="24"/>
                <w:szCs w:val="24"/>
                <w:lang w:eastAsia="ru-RU"/>
              </w:rPr>
              <w:t>Зареєстровано в Міністерстві</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юстиції України</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02 квітня 2019 р.</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за № 336/33307</w:t>
            </w:r>
          </w:p>
        </w:tc>
      </w:tr>
    </w:tbl>
    <w:p w:rsidR="00AA3F0E" w:rsidRPr="00AA3F0E" w:rsidRDefault="00AA3F0E" w:rsidP="00AA3F0E">
      <w:pPr>
        <w:shd w:val="clear" w:color="auto" w:fill="FFFFFF"/>
        <w:spacing w:before="232" w:after="348" w:line="240" w:lineRule="auto"/>
        <w:ind w:left="348" w:right="348"/>
        <w:jc w:val="center"/>
        <w:rPr>
          <w:rFonts w:ascii="Times New Roman" w:eastAsia="Times New Roman" w:hAnsi="Times New Roman" w:cs="Times New Roman"/>
          <w:color w:val="333333"/>
          <w:sz w:val="19"/>
          <w:szCs w:val="19"/>
          <w:lang w:eastAsia="ru-RU"/>
        </w:rPr>
      </w:pPr>
      <w:bookmarkStart w:id="1" w:name="n4"/>
      <w:bookmarkEnd w:id="1"/>
      <w:r w:rsidRPr="00AA3F0E">
        <w:rPr>
          <w:rFonts w:ascii="Times New Roman" w:eastAsia="Times New Roman" w:hAnsi="Times New Roman" w:cs="Times New Roman"/>
          <w:b/>
          <w:bCs/>
          <w:color w:val="333333"/>
          <w:sz w:val="32"/>
          <w:lang w:eastAsia="ru-RU"/>
        </w:rPr>
        <w:t>Про затвердження Технічного регламенту маркування матеріалів, що використовуються для виготовлення основних складових взуття, яке надходить для продажу споживачу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 w:name="n5"/>
      <w:bookmarkEnd w:id="2"/>
      <w:r w:rsidRPr="00AA3F0E">
        <w:rPr>
          <w:rFonts w:ascii="Times New Roman" w:eastAsia="Times New Roman" w:hAnsi="Times New Roman" w:cs="Times New Roman"/>
          <w:color w:val="333333"/>
          <w:sz w:val="19"/>
          <w:szCs w:val="19"/>
          <w:lang w:eastAsia="ru-RU"/>
        </w:rPr>
        <w:t>Відповідно до </w:t>
      </w:r>
      <w:hyperlink r:id="rId5" w:anchor="n100" w:tgtFrame="_blank" w:history="1">
        <w:r w:rsidRPr="00AA3F0E">
          <w:rPr>
            <w:rFonts w:ascii="Times New Roman" w:eastAsia="Times New Roman" w:hAnsi="Times New Roman" w:cs="Times New Roman"/>
            <w:color w:val="000099"/>
            <w:sz w:val="24"/>
            <w:szCs w:val="24"/>
            <w:u w:val="single"/>
            <w:lang w:eastAsia="ru-RU"/>
          </w:rPr>
          <w:t>частини другої</w:t>
        </w:r>
      </w:hyperlink>
      <w:r w:rsidRPr="00AA3F0E">
        <w:rPr>
          <w:rFonts w:ascii="Times New Roman" w:eastAsia="Times New Roman" w:hAnsi="Times New Roman" w:cs="Times New Roman"/>
          <w:color w:val="333333"/>
          <w:sz w:val="19"/>
          <w:szCs w:val="19"/>
          <w:lang w:eastAsia="ru-RU"/>
        </w:rPr>
        <w:t> статті 8 Закону України «Про технічні регламенти та оцінку відповідності», постанови Кабінету Міністрів України від 16 грудня 2015 року </w:t>
      </w:r>
      <w:hyperlink r:id="rId6" w:tgtFrame="_blank" w:history="1">
        <w:r w:rsidRPr="00AA3F0E">
          <w:rPr>
            <w:rFonts w:ascii="Times New Roman" w:eastAsia="Times New Roman" w:hAnsi="Times New Roman" w:cs="Times New Roman"/>
            <w:color w:val="000099"/>
            <w:sz w:val="24"/>
            <w:szCs w:val="24"/>
            <w:u w:val="single"/>
            <w:lang w:eastAsia="ru-RU"/>
          </w:rPr>
          <w:t>№ 1057</w:t>
        </w:r>
      </w:hyperlink>
      <w:r w:rsidRPr="00AA3F0E">
        <w:rPr>
          <w:rFonts w:ascii="Times New Roman" w:eastAsia="Times New Roman" w:hAnsi="Times New Roman" w:cs="Times New Roman"/>
          <w:color w:val="333333"/>
          <w:sz w:val="19"/>
          <w:szCs w:val="19"/>
          <w:lang w:eastAsia="ru-RU"/>
        </w:rPr>
        <w:t> «Про визначення сфер діяльності, в яких центральні органи виконавчої влади здійснюють функції технічного регулювання» </w:t>
      </w:r>
      <w:r w:rsidRPr="00AA3F0E">
        <w:rPr>
          <w:rFonts w:ascii="Times New Roman" w:eastAsia="Times New Roman" w:hAnsi="Times New Roman" w:cs="Times New Roman"/>
          <w:b/>
          <w:bCs/>
          <w:color w:val="333333"/>
          <w:spacing w:val="23"/>
          <w:sz w:val="24"/>
          <w:szCs w:val="24"/>
          <w:lang w:eastAsia="ru-RU"/>
        </w:rPr>
        <w:t>НАКАЗУЮ:</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 w:name="n6"/>
      <w:bookmarkEnd w:id="3"/>
      <w:r w:rsidRPr="00AA3F0E">
        <w:rPr>
          <w:rFonts w:ascii="Times New Roman" w:eastAsia="Times New Roman" w:hAnsi="Times New Roman" w:cs="Times New Roman"/>
          <w:color w:val="333333"/>
          <w:sz w:val="19"/>
          <w:szCs w:val="19"/>
          <w:lang w:eastAsia="ru-RU"/>
        </w:rPr>
        <w:t>1. Затвердити </w:t>
      </w:r>
      <w:hyperlink r:id="rId7" w:anchor="n14" w:history="1">
        <w:r w:rsidRPr="00AA3F0E">
          <w:rPr>
            <w:rFonts w:ascii="Times New Roman" w:eastAsia="Times New Roman" w:hAnsi="Times New Roman" w:cs="Times New Roman"/>
            <w:color w:val="006600"/>
            <w:sz w:val="24"/>
            <w:szCs w:val="24"/>
            <w:u w:val="single"/>
            <w:lang w:eastAsia="ru-RU"/>
          </w:rPr>
          <w:t>Технічний регламент маркування матеріалів, що використовуються для виготовлення основних складових взуття, яке надходить для продажу споживачу</w:t>
        </w:r>
      </w:hyperlink>
      <w:r w:rsidRPr="00AA3F0E">
        <w:rPr>
          <w:rFonts w:ascii="Times New Roman" w:eastAsia="Times New Roman" w:hAnsi="Times New Roman" w:cs="Times New Roman"/>
          <w:color w:val="333333"/>
          <w:sz w:val="19"/>
          <w:szCs w:val="19"/>
          <w:lang w:eastAsia="ru-RU"/>
        </w:rPr>
        <w:t>, що додається.</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4" w:name="n7"/>
      <w:bookmarkEnd w:id="4"/>
      <w:r w:rsidRPr="00AA3F0E">
        <w:rPr>
          <w:rFonts w:ascii="Times New Roman" w:eastAsia="Times New Roman" w:hAnsi="Times New Roman" w:cs="Times New Roman"/>
          <w:color w:val="333333"/>
          <w:sz w:val="19"/>
          <w:szCs w:val="19"/>
          <w:lang w:eastAsia="ru-RU"/>
        </w:rPr>
        <w:t>2. Департаменту технічного регулювання в установленому законодавством порядку забезпечити подання цього наказу на державну реєстрацію до Міністерства юстиції України.</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 w:name="n8"/>
      <w:bookmarkEnd w:id="5"/>
      <w:r w:rsidRPr="00AA3F0E">
        <w:rPr>
          <w:rFonts w:ascii="Times New Roman" w:eastAsia="Times New Roman" w:hAnsi="Times New Roman" w:cs="Times New Roman"/>
          <w:color w:val="333333"/>
          <w:sz w:val="19"/>
          <w:szCs w:val="19"/>
          <w:lang w:eastAsia="ru-RU"/>
        </w:rPr>
        <w:t>3. Цей наказ набирає чинності одночасно із втратою чинності постанови Кабінету Міністрів України </w:t>
      </w:r>
      <w:hyperlink r:id="rId8" w:tgtFrame="_blank" w:history="1">
        <w:r w:rsidRPr="00AA3F0E">
          <w:rPr>
            <w:rFonts w:ascii="Times New Roman" w:eastAsia="Times New Roman" w:hAnsi="Times New Roman" w:cs="Times New Roman"/>
            <w:color w:val="000099"/>
            <w:sz w:val="24"/>
            <w:szCs w:val="24"/>
            <w:u w:val="single"/>
            <w:lang w:eastAsia="ru-RU"/>
          </w:rPr>
          <w:t>від 09 червня 2011 року № 632</w:t>
        </w:r>
      </w:hyperlink>
      <w:r w:rsidRPr="00AA3F0E">
        <w:rPr>
          <w:rFonts w:ascii="Times New Roman" w:eastAsia="Times New Roman" w:hAnsi="Times New Roman" w:cs="Times New Roman"/>
          <w:color w:val="333333"/>
          <w:sz w:val="19"/>
          <w:szCs w:val="19"/>
          <w:lang w:eastAsia="ru-RU"/>
        </w:rPr>
        <w:t> «Про затвердження Технічного регламенту маркування матеріалів, що використовуються для виготовлення основних складових взуття, яке надходить для продажу», але не раніше дня його офіційного опублікування.</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6" w:name="n9"/>
      <w:bookmarkEnd w:id="6"/>
      <w:r w:rsidRPr="00AA3F0E">
        <w:rPr>
          <w:rFonts w:ascii="Times New Roman" w:eastAsia="Times New Roman" w:hAnsi="Times New Roman" w:cs="Times New Roman"/>
          <w:color w:val="333333"/>
          <w:sz w:val="19"/>
          <w:szCs w:val="19"/>
          <w:lang w:eastAsia="ru-RU"/>
        </w:rPr>
        <w:t>4. Контроль за виконанням цього наказу покласти на заступника Міністра економічного розвитку і торгівлі України Бровченка Ю.П.</w:t>
      </w:r>
    </w:p>
    <w:tbl>
      <w:tblPr>
        <w:tblW w:w="5000" w:type="pct"/>
        <w:tblCellMar>
          <w:left w:w="0" w:type="dxa"/>
          <w:right w:w="0" w:type="dxa"/>
        </w:tblCellMar>
        <w:tblLook w:val="04A0"/>
      </w:tblPr>
      <w:tblGrid>
        <w:gridCol w:w="3932"/>
        <w:gridCol w:w="1685"/>
        <w:gridCol w:w="3744"/>
      </w:tblGrid>
      <w:tr w:rsidR="00AA3F0E" w:rsidRPr="00AA3F0E" w:rsidTr="00AA3F0E">
        <w:tc>
          <w:tcPr>
            <w:tcW w:w="21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232" w:after="116" w:line="240" w:lineRule="auto"/>
              <w:jc w:val="center"/>
              <w:rPr>
                <w:rFonts w:ascii="Times New Roman" w:eastAsia="Times New Roman" w:hAnsi="Times New Roman" w:cs="Times New Roman"/>
                <w:sz w:val="24"/>
                <w:szCs w:val="24"/>
                <w:lang w:eastAsia="ru-RU"/>
              </w:rPr>
            </w:pPr>
            <w:bookmarkStart w:id="7" w:name="n10"/>
            <w:bookmarkEnd w:id="7"/>
            <w:r w:rsidRPr="00AA3F0E">
              <w:rPr>
                <w:rFonts w:ascii="Times New Roman" w:eastAsia="Times New Roman" w:hAnsi="Times New Roman" w:cs="Times New Roman"/>
                <w:b/>
                <w:bCs/>
                <w:sz w:val="24"/>
                <w:szCs w:val="24"/>
                <w:lang w:eastAsia="ru-RU"/>
              </w:rPr>
              <w:t>Перший</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віце-прем’єр-міністр України -</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Міністр економічного розвитку</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і торгівлі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232" w:after="0" w:line="240" w:lineRule="auto"/>
              <w:jc w:val="righ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С.І. Кубів</w:t>
            </w:r>
          </w:p>
        </w:tc>
      </w:tr>
      <w:tr w:rsidR="00AA3F0E" w:rsidRPr="00AA3F0E" w:rsidTr="00AA3F0E">
        <w:tc>
          <w:tcPr>
            <w:tcW w:w="3000" w:type="pct"/>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bookmarkStart w:id="8" w:name="n11"/>
            <w:bookmarkEnd w:id="8"/>
            <w:r w:rsidRPr="00AA3F0E">
              <w:rPr>
                <w:rFonts w:ascii="Times New Roman" w:eastAsia="Times New Roman" w:hAnsi="Times New Roman" w:cs="Times New Roman"/>
                <w:sz w:val="24"/>
                <w:szCs w:val="24"/>
                <w:lang w:eastAsia="ru-RU"/>
              </w:rPr>
              <w:t>ПОГОДЖЕНО:</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Голова Спільного представницького</w:t>
            </w:r>
            <w:r w:rsidRPr="00AA3F0E">
              <w:rPr>
                <w:rFonts w:ascii="Times New Roman" w:eastAsia="Times New Roman" w:hAnsi="Times New Roman" w:cs="Times New Roman"/>
                <w:sz w:val="24"/>
                <w:szCs w:val="24"/>
                <w:lang w:eastAsia="ru-RU"/>
              </w:rPr>
              <w:br/>
              <w:t>органу об’єднань профспілок</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Виконавчий Віце-президент</w:t>
            </w:r>
            <w:r w:rsidRPr="00AA3F0E">
              <w:rPr>
                <w:rFonts w:ascii="Times New Roman" w:eastAsia="Times New Roman" w:hAnsi="Times New Roman" w:cs="Times New Roman"/>
                <w:sz w:val="24"/>
                <w:szCs w:val="24"/>
                <w:lang w:eastAsia="ru-RU"/>
              </w:rPr>
              <w:br/>
              <w:t>Конфедерації роботодавців України</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lastRenderedPageBreak/>
              <w:br/>
              <w:t>Керівник Секретаріату</w:t>
            </w:r>
            <w:r w:rsidRPr="00AA3F0E">
              <w:rPr>
                <w:rFonts w:ascii="Times New Roman" w:eastAsia="Times New Roman" w:hAnsi="Times New Roman" w:cs="Times New Roman"/>
                <w:sz w:val="24"/>
                <w:szCs w:val="24"/>
                <w:lang w:eastAsia="ru-RU"/>
              </w:rPr>
              <w:br/>
              <w:t>Спільного представницького органу</w:t>
            </w:r>
            <w:r w:rsidRPr="00AA3F0E">
              <w:rPr>
                <w:rFonts w:ascii="Times New Roman" w:eastAsia="Times New Roman" w:hAnsi="Times New Roman" w:cs="Times New Roman"/>
                <w:sz w:val="24"/>
                <w:szCs w:val="24"/>
                <w:lang w:eastAsia="ru-RU"/>
              </w:rPr>
              <w:br/>
              <w:t>сторони роботодавців на національному рівні</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Голова Державної служби України</w:t>
            </w:r>
            <w:r w:rsidRPr="00AA3F0E">
              <w:rPr>
                <w:rFonts w:ascii="Times New Roman" w:eastAsia="Times New Roman" w:hAnsi="Times New Roman" w:cs="Times New Roman"/>
                <w:sz w:val="24"/>
                <w:szCs w:val="24"/>
                <w:lang w:eastAsia="ru-RU"/>
              </w:rPr>
              <w:br/>
              <w:t>з питань безпечності харчових продуктів</w:t>
            </w:r>
            <w:r w:rsidRPr="00AA3F0E">
              <w:rPr>
                <w:rFonts w:ascii="Times New Roman" w:eastAsia="Times New Roman" w:hAnsi="Times New Roman" w:cs="Times New Roman"/>
                <w:sz w:val="24"/>
                <w:szCs w:val="24"/>
                <w:lang w:eastAsia="ru-RU"/>
              </w:rPr>
              <w:br/>
              <w:t>та захисту споживачів</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Голова Державної 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jc w:val="righ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lastRenderedPageBreak/>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Г.В. Осовий</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О. Мірошниченко</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lastRenderedPageBreak/>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Р. Іллічов</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В. Лапа</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t>К. Ляпіна</w:t>
            </w:r>
          </w:p>
        </w:tc>
      </w:tr>
    </w:tbl>
    <w:p w:rsidR="00AA3F0E" w:rsidRPr="00AA3F0E" w:rsidRDefault="00AA3F0E" w:rsidP="00AA3F0E">
      <w:pPr>
        <w:spacing w:after="0" w:line="240" w:lineRule="auto"/>
        <w:rPr>
          <w:rFonts w:ascii="Times New Roman" w:eastAsia="Times New Roman" w:hAnsi="Times New Roman" w:cs="Times New Roman"/>
          <w:sz w:val="24"/>
          <w:szCs w:val="24"/>
          <w:lang w:eastAsia="ru-RU"/>
        </w:rPr>
      </w:pPr>
      <w:bookmarkStart w:id="9" w:name="n59"/>
      <w:bookmarkEnd w:id="9"/>
      <w:r w:rsidRPr="00AA3F0E">
        <w:rPr>
          <w:rFonts w:ascii="Times New Roman" w:eastAsia="Times New Roman" w:hAnsi="Times New Roman" w:cs="Times New Roman"/>
          <w:sz w:val="24"/>
          <w:szCs w:val="24"/>
          <w:lang w:eastAsia="ru-RU"/>
        </w:rPr>
        <w:lastRenderedPageBreak/>
        <w:pict>
          <v:rect id="_x0000_i1025" style="width:0;height:0" o:hrstd="t" o:hrnoshade="t" o:hr="t" fillcolor="black" stroked="f"/>
        </w:pict>
      </w:r>
    </w:p>
    <w:tbl>
      <w:tblPr>
        <w:tblW w:w="5000" w:type="pct"/>
        <w:tblCellMar>
          <w:left w:w="0" w:type="dxa"/>
          <w:right w:w="0" w:type="dxa"/>
        </w:tblCellMar>
        <w:tblLook w:val="04A0"/>
      </w:tblPr>
      <w:tblGrid>
        <w:gridCol w:w="5617"/>
        <w:gridCol w:w="3744"/>
      </w:tblGrid>
      <w:tr w:rsidR="00AA3F0E" w:rsidRPr="00AA3F0E" w:rsidTr="00AA3F0E">
        <w:tc>
          <w:tcPr>
            <w:tcW w:w="3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bookmarkStart w:id="10" w:name="n12"/>
            <w:bookmarkEnd w:id="10"/>
            <w:r w:rsidRPr="00AA3F0E">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r w:rsidRPr="00AA3F0E">
              <w:rPr>
                <w:rFonts w:ascii="Times New Roman" w:eastAsia="Times New Roman" w:hAnsi="Times New Roman" w:cs="Times New Roman"/>
                <w:b/>
                <w:bCs/>
                <w:sz w:val="24"/>
                <w:szCs w:val="24"/>
                <w:lang w:eastAsia="ru-RU"/>
              </w:rPr>
              <w:t>ЗАТВЕРДЖЕНО</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Наказ Міністерства</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економічного розвитку</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і торгівлі України</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06 березня 2019 року № 358</w:t>
            </w:r>
          </w:p>
        </w:tc>
      </w:tr>
      <w:tr w:rsidR="00AA3F0E" w:rsidRPr="00AA3F0E" w:rsidTr="00AA3F0E">
        <w:tc>
          <w:tcPr>
            <w:tcW w:w="3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bookmarkStart w:id="11" w:name="n13"/>
            <w:bookmarkEnd w:id="11"/>
            <w:r w:rsidRPr="00AA3F0E">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r w:rsidRPr="00AA3F0E">
              <w:rPr>
                <w:rFonts w:ascii="Times New Roman" w:eastAsia="Times New Roman" w:hAnsi="Times New Roman" w:cs="Times New Roman"/>
                <w:b/>
                <w:bCs/>
                <w:sz w:val="24"/>
                <w:szCs w:val="24"/>
                <w:lang w:eastAsia="ru-RU"/>
              </w:rPr>
              <w:t>Зареєстровано в Міністерстві</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юстиції України</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02 квітня 2019 р.</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за № 336/33307</w:t>
            </w:r>
          </w:p>
        </w:tc>
      </w:tr>
    </w:tbl>
    <w:p w:rsidR="00AA3F0E" w:rsidRPr="00AA3F0E" w:rsidRDefault="00AA3F0E" w:rsidP="00AA3F0E">
      <w:pPr>
        <w:shd w:val="clear" w:color="auto" w:fill="FFFFFF"/>
        <w:spacing w:before="232" w:after="348" w:line="240" w:lineRule="auto"/>
        <w:ind w:left="348" w:right="348"/>
        <w:jc w:val="center"/>
        <w:rPr>
          <w:rFonts w:ascii="Times New Roman" w:eastAsia="Times New Roman" w:hAnsi="Times New Roman" w:cs="Times New Roman"/>
          <w:color w:val="333333"/>
          <w:sz w:val="19"/>
          <w:szCs w:val="19"/>
          <w:lang w:eastAsia="ru-RU"/>
        </w:rPr>
      </w:pPr>
      <w:bookmarkStart w:id="12" w:name="n14"/>
      <w:bookmarkEnd w:id="12"/>
      <w:r w:rsidRPr="00AA3F0E">
        <w:rPr>
          <w:rFonts w:ascii="Times New Roman" w:eastAsia="Times New Roman" w:hAnsi="Times New Roman" w:cs="Times New Roman"/>
          <w:b/>
          <w:bCs/>
          <w:color w:val="333333"/>
          <w:sz w:val="32"/>
          <w:lang w:eastAsia="ru-RU"/>
        </w:rPr>
        <w:t>ТЕХНІЧНИЙ РЕГЛАМЕНТ</w:t>
      </w:r>
      <w:r w:rsidRPr="00AA3F0E">
        <w:rPr>
          <w:rFonts w:ascii="Times New Roman" w:eastAsia="Times New Roman" w:hAnsi="Times New Roman" w:cs="Times New Roman"/>
          <w:color w:val="333333"/>
          <w:sz w:val="19"/>
          <w:szCs w:val="19"/>
          <w:lang w:eastAsia="ru-RU"/>
        </w:rPr>
        <w:br/>
      </w:r>
      <w:r w:rsidRPr="00AA3F0E">
        <w:rPr>
          <w:rFonts w:ascii="Times New Roman" w:eastAsia="Times New Roman" w:hAnsi="Times New Roman" w:cs="Times New Roman"/>
          <w:b/>
          <w:bCs/>
          <w:color w:val="333333"/>
          <w:sz w:val="32"/>
          <w:lang w:eastAsia="ru-RU"/>
        </w:rPr>
        <w:t>маркування матеріалів, що використовуються для виготовлення основних складових взуття, яке надходить для продажу споживачу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13" w:name="n15"/>
      <w:bookmarkEnd w:id="13"/>
      <w:r w:rsidRPr="00AA3F0E">
        <w:rPr>
          <w:rFonts w:ascii="Times New Roman" w:eastAsia="Times New Roman" w:hAnsi="Times New Roman" w:cs="Times New Roman"/>
          <w:color w:val="333333"/>
          <w:sz w:val="19"/>
          <w:szCs w:val="19"/>
          <w:lang w:eastAsia="ru-RU"/>
        </w:rPr>
        <w:t>1. Цей Технічний регламент встановлює вимоги до маркування матеріалів, що використовуються для виготовлення основних складових взуття, яке надходить для продажу споживачу.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14" w:name="n16"/>
      <w:bookmarkEnd w:id="14"/>
      <w:r w:rsidRPr="00AA3F0E">
        <w:rPr>
          <w:rFonts w:ascii="Times New Roman" w:eastAsia="Times New Roman" w:hAnsi="Times New Roman" w:cs="Times New Roman"/>
          <w:color w:val="333333"/>
          <w:sz w:val="19"/>
          <w:szCs w:val="19"/>
          <w:lang w:eastAsia="ru-RU"/>
        </w:rPr>
        <w:t>Цей Технічний регламент розроблений на основі Директиви 94/11/ЄС Європейського Парламенту та Ради від 23 березня 1994 р. про наближення законів, підзаконних актів та адміністративних положень держав-членів про маркування матеріалів, що використовуються для виготовлення основних складових взуття, що надходить до продажу споживачам.</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15" w:name="n17"/>
      <w:bookmarkEnd w:id="15"/>
      <w:r w:rsidRPr="00AA3F0E">
        <w:rPr>
          <w:rFonts w:ascii="Times New Roman" w:eastAsia="Times New Roman" w:hAnsi="Times New Roman" w:cs="Times New Roman"/>
          <w:color w:val="333333"/>
          <w:sz w:val="19"/>
          <w:szCs w:val="19"/>
          <w:lang w:eastAsia="ru-RU"/>
        </w:rPr>
        <w:t>2. Для цілей цього Технічного регламенту термін «взуття» означає будь-які вироби з підошвами, призначені для носіння на ногах, включаючи складові (матеріал верху взуття, підкладки й устілки, підошви), зазначені у </w:t>
      </w:r>
      <w:hyperlink r:id="rId9" w:anchor="n42" w:history="1">
        <w:r w:rsidRPr="00AA3F0E">
          <w:rPr>
            <w:rFonts w:ascii="Times New Roman" w:eastAsia="Times New Roman" w:hAnsi="Times New Roman" w:cs="Times New Roman"/>
            <w:color w:val="006600"/>
            <w:sz w:val="24"/>
            <w:szCs w:val="24"/>
            <w:u w:val="single"/>
            <w:lang w:eastAsia="ru-RU"/>
          </w:rPr>
          <w:t>додатку 1</w:t>
        </w:r>
      </w:hyperlink>
      <w:r w:rsidRPr="00AA3F0E">
        <w:rPr>
          <w:rFonts w:ascii="Times New Roman" w:eastAsia="Times New Roman" w:hAnsi="Times New Roman" w:cs="Times New Roman"/>
          <w:color w:val="333333"/>
          <w:sz w:val="19"/>
          <w:szCs w:val="19"/>
          <w:lang w:eastAsia="ru-RU"/>
        </w:rPr>
        <w:t> до цього Технічного регламенту, що окремо надходять в обіг.</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16" w:name="n18"/>
      <w:bookmarkEnd w:id="16"/>
      <w:r w:rsidRPr="00AA3F0E">
        <w:rPr>
          <w:rFonts w:ascii="Times New Roman" w:eastAsia="Times New Roman" w:hAnsi="Times New Roman" w:cs="Times New Roman"/>
          <w:color w:val="333333"/>
          <w:sz w:val="19"/>
          <w:szCs w:val="19"/>
          <w:lang w:eastAsia="ru-RU"/>
        </w:rPr>
        <w:t>Інші терміни вживаються у значеннях, наведених у Законах України </w:t>
      </w:r>
      <w:hyperlink r:id="rId10" w:tgtFrame="_blank" w:history="1">
        <w:r w:rsidRPr="00AA3F0E">
          <w:rPr>
            <w:rFonts w:ascii="Times New Roman" w:eastAsia="Times New Roman" w:hAnsi="Times New Roman" w:cs="Times New Roman"/>
            <w:color w:val="000099"/>
            <w:sz w:val="24"/>
            <w:szCs w:val="24"/>
            <w:u w:val="single"/>
            <w:lang w:eastAsia="ru-RU"/>
          </w:rPr>
          <w:t>«Про технічні регламенти та оцінку відповідності»</w:t>
        </w:r>
      </w:hyperlink>
      <w:r w:rsidRPr="00AA3F0E">
        <w:rPr>
          <w:rFonts w:ascii="Times New Roman" w:eastAsia="Times New Roman" w:hAnsi="Times New Roman" w:cs="Times New Roman"/>
          <w:color w:val="333333"/>
          <w:sz w:val="19"/>
          <w:szCs w:val="19"/>
          <w:lang w:eastAsia="ru-RU"/>
        </w:rPr>
        <w:t>, </w:t>
      </w:r>
      <w:hyperlink r:id="rId11" w:tgtFrame="_blank" w:history="1">
        <w:r w:rsidRPr="00AA3F0E">
          <w:rPr>
            <w:rFonts w:ascii="Times New Roman" w:eastAsia="Times New Roman" w:hAnsi="Times New Roman" w:cs="Times New Roman"/>
            <w:color w:val="000099"/>
            <w:sz w:val="24"/>
            <w:szCs w:val="24"/>
            <w:u w:val="single"/>
            <w:lang w:eastAsia="ru-RU"/>
          </w:rPr>
          <w:t>«Про захист прав споживачів»</w:t>
        </w:r>
      </w:hyperlink>
      <w:r w:rsidRPr="00AA3F0E">
        <w:rPr>
          <w:rFonts w:ascii="Times New Roman" w:eastAsia="Times New Roman" w:hAnsi="Times New Roman" w:cs="Times New Roman"/>
          <w:color w:val="333333"/>
          <w:sz w:val="19"/>
          <w:szCs w:val="19"/>
          <w:lang w:eastAsia="ru-RU"/>
        </w:rPr>
        <w:t>, </w:t>
      </w:r>
      <w:hyperlink r:id="rId12" w:tgtFrame="_blank" w:history="1">
        <w:r w:rsidRPr="00AA3F0E">
          <w:rPr>
            <w:rFonts w:ascii="Times New Roman" w:eastAsia="Times New Roman" w:hAnsi="Times New Roman" w:cs="Times New Roman"/>
            <w:color w:val="000099"/>
            <w:sz w:val="24"/>
            <w:szCs w:val="24"/>
            <w:u w:val="single"/>
            <w:lang w:eastAsia="ru-RU"/>
          </w:rPr>
          <w:t>«Про державний ринковий нагляд і контроль нехарчової продукції»</w:t>
        </w:r>
      </w:hyperlink>
      <w:r w:rsidRPr="00AA3F0E">
        <w:rPr>
          <w:rFonts w:ascii="Times New Roman" w:eastAsia="Times New Roman" w:hAnsi="Times New Roman" w:cs="Times New Roman"/>
          <w:color w:val="333333"/>
          <w:sz w:val="19"/>
          <w:szCs w:val="19"/>
          <w:lang w:eastAsia="ru-RU"/>
        </w:rPr>
        <w:t>.</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17" w:name="n19"/>
      <w:bookmarkEnd w:id="17"/>
      <w:r w:rsidRPr="00AA3F0E">
        <w:rPr>
          <w:rFonts w:ascii="Times New Roman" w:eastAsia="Times New Roman" w:hAnsi="Times New Roman" w:cs="Times New Roman"/>
          <w:color w:val="333333"/>
          <w:sz w:val="19"/>
          <w:szCs w:val="19"/>
          <w:lang w:eastAsia="ru-RU"/>
        </w:rPr>
        <w:t>3. Перелік взуття, на яке поширюється дія цього Технічного регламенту, наведений у </w:t>
      </w:r>
      <w:hyperlink r:id="rId13" w:anchor="n48" w:history="1">
        <w:r w:rsidRPr="00AA3F0E">
          <w:rPr>
            <w:rFonts w:ascii="Times New Roman" w:eastAsia="Times New Roman" w:hAnsi="Times New Roman" w:cs="Times New Roman"/>
            <w:color w:val="006600"/>
            <w:sz w:val="24"/>
            <w:szCs w:val="24"/>
            <w:u w:val="single"/>
            <w:lang w:eastAsia="ru-RU"/>
          </w:rPr>
          <w:t>додатку 2</w:t>
        </w:r>
      </w:hyperlink>
      <w:r w:rsidRPr="00AA3F0E">
        <w:rPr>
          <w:rFonts w:ascii="Times New Roman" w:eastAsia="Times New Roman" w:hAnsi="Times New Roman" w:cs="Times New Roman"/>
          <w:color w:val="333333"/>
          <w:sz w:val="19"/>
          <w:szCs w:val="19"/>
          <w:lang w:eastAsia="ru-RU"/>
        </w:rPr>
        <w:t> до цього Технічного регламенту, не є вичерпним.</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18" w:name="n20"/>
      <w:bookmarkEnd w:id="18"/>
      <w:r w:rsidRPr="00AA3F0E">
        <w:rPr>
          <w:rFonts w:ascii="Times New Roman" w:eastAsia="Times New Roman" w:hAnsi="Times New Roman" w:cs="Times New Roman"/>
          <w:color w:val="333333"/>
          <w:sz w:val="19"/>
          <w:szCs w:val="19"/>
          <w:lang w:eastAsia="ru-RU"/>
        </w:rPr>
        <w:t>4. Дія цього Технічного регламенту не поширюється на:</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19" w:name="n21"/>
      <w:bookmarkEnd w:id="19"/>
      <w:r w:rsidRPr="00AA3F0E">
        <w:rPr>
          <w:rFonts w:ascii="Times New Roman" w:eastAsia="Times New Roman" w:hAnsi="Times New Roman" w:cs="Times New Roman"/>
          <w:color w:val="333333"/>
          <w:sz w:val="19"/>
          <w:szCs w:val="19"/>
          <w:lang w:eastAsia="ru-RU"/>
        </w:rPr>
        <w:t>взуття, що було у вжитку (ношене);</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0" w:name="n22"/>
      <w:bookmarkEnd w:id="20"/>
      <w:r w:rsidRPr="00AA3F0E">
        <w:rPr>
          <w:rFonts w:ascii="Times New Roman" w:eastAsia="Times New Roman" w:hAnsi="Times New Roman" w:cs="Times New Roman"/>
          <w:color w:val="333333"/>
          <w:sz w:val="19"/>
          <w:szCs w:val="19"/>
          <w:lang w:eastAsia="ru-RU"/>
        </w:rPr>
        <w:t>взуття, на яке поширюється дія інших технічних регламентів.</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1" w:name="n23"/>
      <w:bookmarkEnd w:id="21"/>
      <w:r w:rsidRPr="00AA3F0E">
        <w:rPr>
          <w:rFonts w:ascii="Times New Roman" w:eastAsia="Times New Roman" w:hAnsi="Times New Roman" w:cs="Times New Roman"/>
          <w:color w:val="333333"/>
          <w:sz w:val="19"/>
          <w:szCs w:val="19"/>
          <w:lang w:eastAsia="ru-RU"/>
        </w:rPr>
        <w:t>5. Інформація про складові взуття зазначається на маркуванні відповідно до пункту 9 цього Технічного регламенту.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2" w:name="n24"/>
      <w:bookmarkEnd w:id="22"/>
      <w:r w:rsidRPr="00AA3F0E">
        <w:rPr>
          <w:rFonts w:ascii="Times New Roman" w:eastAsia="Times New Roman" w:hAnsi="Times New Roman" w:cs="Times New Roman"/>
          <w:color w:val="333333"/>
          <w:sz w:val="19"/>
          <w:szCs w:val="19"/>
          <w:lang w:eastAsia="ru-RU"/>
        </w:rPr>
        <w:t>На маркуванні обов’язковою є інформація про три основні складові взуття згідно з додатком 1 до цього Технічного регламенту, а саме:</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3" w:name="n25"/>
      <w:bookmarkEnd w:id="23"/>
      <w:r w:rsidRPr="00AA3F0E">
        <w:rPr>
          <w:rFonts w:ascii="Times New Roman" w:eastAsia="Times New Roman" w:hAnsi="Times New Roman" w:cs="Times New Roman"/>
          <w:color w:val="333333"/>
          <w:sz w:val="19"/>
          <w:szCs w:val="19"/>
          <w:lang w:eastAsia="ru-RU"/>
        </w:rPr>
        <w:t>матеріал верху;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4" w:name="n26"/>
      <w:bookmarkEnd w:id="24"/>
      <w:r w:rsidRPr="00AA3F0E">
        <w:rPr>
          <w:rFonts w:ascii="Times New Roman" w:eastAsia="Times New Roman" w:hAnsi="Times New Roman" w:cs="Times New Roman"/>
          <w:color w:val="333333"/>
          <w:sz w:val="19"/>
          <w:szCs w:val="19"/>
          <w:lang w:eastAsia="ru-RU"/>
        </w:rPr>
        <w:lastRenderedPageBreak/>
        <w:t>підкладка й устілка;</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5" w:name="n27"/>
      <w:bookmarkEnd w:id="25"/>
      <w:r w:rsidRPr="00AA3F0E">
        <w:rPr>
          <w:rFonts w:ascii="Times New Roman" w:eastAsia="Times New Roman" w:hAnsi="Times New Roman" w:cs="Times New Roman"/>
          <w:color w:val="333333"/>
          <w:sz w:val="19"/>
          <w:szCs w:val="19"/>
          <w:lang w:eastAsia="ru-RU"/>
        </w:rPr>
        <w:t>підошва.</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6" w:name="n28"/>
      <w:bookmarkEnd w:id="26"/>
      <w:r w:rsidRPr="00AA3F0E">
        <w:rPr>
          <w:rFonts w:ascii="Times New Roman" w:eastAsia="Times New Roman" w:hAnsi="Times New Roman" w:cs="Times New Roman"/>
          <w:color w:val="333333"/>
          <w:sz w:val="19"/>
          <w:szCs w:val="19"/>
          <w:lang w:eastAsia="ru-RU"/>
        </w:rPr>
        <w:t>Складові взуття позначаються відповідно до пункту 9 цього Технічного регламенту у вигляді піктограм або текстових позначень конкретних матеріалів, які зазначено у додатку 1 до цього Технічного регламенту.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7" w:name="n29"/>
      <w:bookmarkEnd w:id="27"/>
      <w:r w:rsidRPr="00AA3F0E">
        <w:rPr>
          <w:rFonts w:ascii="Times New Roman" w:eastAsia="Times New Roman" w:hAnsi="Times New Roman" w:cs="Times New Roman"/>
          <w:color w:val="333333"/>
          <w:sz w:val="19"/>
          <w:szCs w:val="19"/>
          <w:lang w:eastAsia="ru-RU"/>
        </w:rPr>
        <w:t>Визначення матеріалів верху взуття проводиться відповідно до абзацу першого пункту 9 та </w:t>
      </w:r>
      <w:hyperlink r:id="rId14" w:anchor="n42" w:history="1">
        <w:r w:rsidRPr="00AA3F0E">
          <w:rPr>
            <w:rFonts w:ascii="Times New Roman" w:eastAsia="Times New Roman" w:hAnsi="Times New Roman" w:cs="Times New Roman"/>
            <w:color w:val="006600"/>
            <w:sz w:val="24"/>
            <w:szCs w:val="24"/>
            <w:u w:val="single"/>
            <w:lang w:eastAsia="ru-RU"/>
          </w:rPr>
          <w:t>додатка 1</w:t>
        </w:r>
      </w:hyperlink>
      <w:r w:rsidRPr="00AA3F0E">
        <w:rPr>
          <w:rFonts w:ascii="Times New Roman" w:eastAsia="Times New Roman" w:hAnsi="Times New Roman" w:cs="Times New Roman"/>
          <w:color w:val="333333"/>
          <w:sz w:val="19"/>
          <w:szCs w:val="19"/>
          <w:lang w:eastAsia="ru-RU"/>
        </w:rPr>
        <w:t> до цього Технічного регламенту без урахування аксесуарів або елементів, що їх укріплюють (деталі зі шкіри, ремені для закріплення на щиколотці, прикраси, застібки, язички, блочки або аналогічні елементи).</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8" w:name="n30"/>
      <w:bookmarkEnd w:id="28"/>
      <w:r w:rsidRPr="00AA3F0E">
        <w:rPr>
          <w:rFonts w:ascii="Times New Roman" w:eastAsia="Times New Roman" w:hAnsi="Times New Roman" w:cs="Times New Roman"/>
          <w:color w:val="333333"/>
          <w:sz w:val="19"/>
          <w:szCs w:val="19"/>
          <w:lang w:eastAsia="ru-RU"/>
        </w:rPr>
        <w:t>Визначення матеріалу підошви має здійснюватися залежно від обсягу використаних матеріалів відповідно до пункту 9 цього Технічного регламенту.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29" w:name="n31"/>
      <w:bookmarkEnd w:id="29"/>
      <w:r w:rsidRPr="00AA3F0E">
        <w:rPr>
          <w:rFonts w:ascii="Times New Roman" w:eastAsia="Times New Roman" w:hAnsi="Times New Roman" w:cs="Times New Roman"/>
          <w:color w:val="333333"/>
          <w:sz w:val="19"/>
          <w:szCs w:val="19"/>
          <w:lang w:eastAsia="ru-RU"/>
        </w:rPr>
        <w:t>6. Введення в обіг взуття здійснюється за умови його маркування згідно з вимогами цього Технічного регламенту та відповідності іншому законодавству України, що до нього застосовується.</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0" w:name="n32"/>
      <w:bookmarkEnd w:id="30"/>
      <w:r w:rsidRPr="00AA3F0E">
        <w:rPr>
          <w:rFonts w:ascii="Times New Roman" w:eastAsia="Times New Roman" w:hAnsi="Times New Roman" w:cs="Times New Roman"/>
          <w:color w:val="333333"/>
          <w:sz w:val="19"/>
          <w:szCs w:val="19"/>
          <w:lang w:eastAsia="ru-RU"/>
        </w:rPr>
        <w:t>7. У разі невідповідності маркування взуття, яке введене в обіг, вимогам цього Технічного регламенту органи державного ринкового нагляду вживають обмежувальних (корегувальних) заходів відповідно до </w:t>
      </w:r>
      <w:hyperlink r:id="rId15" w:tgtFrame="_blank" w:history="1">
        <w:r w:rsidRPr="00AA3F0E">
          <w:rPr>
            <w:rFonts w:ascii="Times New Roman" w:eastAsia="Times New Roman" w:hAnsi="Times New Roman" w:cs="Times New Roman"/>
            <w:color w:val="000099"/>
            <w:sz w:val="24"/>
            <w:szCs w:val="24"/>
            <w:u w:val="single"/>
            <w:lang w:eastAsia="ru-RU"/>
          </w:rPr>
          <w:t>Закону України</w:t>
        </w:r>
      </w:hyperlink>
      <w:r w:rsidRPr="00AA3F0E">
        <w:rPr>
          <w:rFonts w:ascii="Times New Roman" w:eastAsia="Times New Roman" w:hAnsi="Times New Roman" w:cs="Times New Roman"/>
          <w:color w:val="333333"/>
          <w:sz w:val="19"/>
          <w:szCs w:val="19"/>
          <w:lang w:eastAsia="ru-RU"/>
        </w:rPr>
        <w:t> «Про державний ринковий нагляд і контроль нехарчової продукції».</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1" w:name="n33"/>
      <w:bookmarkEnd w:id="31"/>
      <w:r w:rsidRPr="00AA3F0E">
        <w:rPr>
          <w:rFonts w:ascii="Times New Roman" w:eastAsia="Times New Roman" w:hAnsi="Times New Roman" w:cs="Times New Roman"/>
          <w:color w:val="333333"/>
          <w:sz w:val="19"/>
          <w:szCs w:val="19"/>
          <w:lang w:eastAsia="ru-RU"/>
        </w:rPr>
        <w:t>8. Введене в обіг взуття, що відповідає вимогам цього Технічного регламенту щодо маркування та відповідним положенням законодавства України, що до нього застосовується, не може бути заборонено або обмежено.</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2" w:name="n34"/>
      <w:bookmarkEnd w:id="32"/>
      <w:r w:rsidRPr="00AA3F0E">
        <w:rPr>
          <w:rFonts w:ascii="Times New Roman" w:eastAsia="Times New Roman" w:hAnsi="Times New Roman" w:cs="Times New Roman"/>
          <w:color w:val="333333"/>
          <w:sz w:val="19"/>
          <w:szCs w:val="19"/>
          <w:lang w:eastAsia="ru-RU"/>
        </w:rPr>
        <w:t>9. На маркуванні має зазначатись інформація про матеріал відповідно до додатка 1 до цього Технічного регламенту, який становить не менше 80 відсотків площі верху взуття, підкладки та устілки, а також 80 відсотків об’єму зовнішньої підошви. Якщо немає жодного матеріалу, частка якого б перевищувала 80 відсотків, інформацію належить подавати про два основні матеріали, з яких виготовлено взуття.</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3" w:name="n35"/>
      <w:bookmarkEnd w:id="33"/>
      <w:r w:rsidRPr="00AA3F0E">
        <w:rPr>
          <w:rFonts w:ascii="Times New Roman" w:eastAsia="Times New Roman" w:hAnsi="Times New Roman" w:cs="Times New Roman"/>
          <w:color w:val="333333"/>
          <w:sz w:val="19"/>
          <w:szCs w:val="19"/>
          <w:lang w:eastAsia="ru-RU"/>
        </w:rPr>
        <w:t>Інформація про матеріал має наноситись на взуття. Виробник або його уповноважений представник може обрати визначені у </w:t>
      </w:r>
      <w:hyperlink r:id="rId16" w:anchor="n42" w:history="1">
        <w:r w:rsidRPr="00AA3F0E">
          <w:rPr>
            <w:rFonts w:ascii="Times New Roman" w:eastAsia="Times New Roman" w:hAnsi="Times New Roman" w:cs="Times New Roman"/>
            <w:color w:val="006600"/>
            <w:sz w:val="24"/>
            <w:szCs w:val="24"/>
            <w:u w:val="single"/>
            <w:lang w:eastAsia="ru-RU"/>
          </w:rPr>
          <w:t>додатку 1</w:t>
        </w:r>
      </w:hyperlink>
      <w:r w:rsidRPr="00AA3F0E">
        <w:rPr>
          <w:rFonts w:ascii="Times New Roman" w:eastAsia="Times New Roman" w:hAnsi="Times New Roman" w:cs="Times New Roman"/>
          <w:color w:val="333333"/>
          <w:sz w:val="19"/>
          <w:szCs w:val="19"/>
          <w:lang w:eastAsia="ru-RU"/>
        </w:rPr>
        <w:t> до цього Технічного регламенту текстові позначення або піктограми.</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4" w:name="n36"/>
      <w:bookmarkEnd w:id="34"/>
      <w:r w:rsidRPr="00AA3F0E">
        <w:rPr>
          <w:rFonts w:ascii="Times New Roman" w:eastAsia="Times New Roman" w:hAnsi="Times New Roman" w:cs="Times New Roman"/>
          <w:color w:val="333333"/>
          <w:sz w:val="19"/>
          <w:szCs w:val="19"/>
          <w:lang w:eastAsia="ru-RU"/>
        </w:rPr>
        <w:t>Маркування згідно з цим Технічним регламентом включає нанесення передбаченої інформації не менш як на одну напівпару з пари взуття. Маркування здійснюється шляхом тиснення, приклеювання, гофрування або прикріплення ярлика.</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5" w:name="n37"/>
      <w:bookmarkEnd w:id="35"/>
      <w:r w:rsidRPr="00AA3F0E">
        <w:rPr>
          <w:rFonts w:ascii="Times New Roman" w:eastAsia="Times New Roman" w:hAnsi="Times New Roman" w:cs="Times New Roman"/>
          <w:color w:val="333333"/>
          <w:sz w:val="19"/>
          <w:szCs w:val="19"/>
          <w:lang w:eastAsia="ru-RU"/>
        </w:rPr>
        <w:t>Маркування має бути видимим, добре закріпленим та доступним, а розміри піктограм достатніми для зручності розуміння інформації, зазначеної на маркуванні. Маркування має бути зрозумілим для споживача і не вводити його в оману.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6" w:name="n38"/>
      <w:bookmarkEnd w:id="36"/>
      <w:r w:rsidRPr="00AA3F0E">
        <w:rPr>
          <w:rFonts w:ascii="Times New Roman" w:eastAsia="Times New Roman" w:hAnsi="Times New Roman" w:cs="Times New Roman"/>
          <w:color w:val="333333"/>
          <w:sz w:val="19"/>
          <w:szCs w:val="19"/>
          <w:lang w:eastAsia="ru-RU"/>
        </w:rPr>
        <w:t>Виробник або його уповноважений представник забезпечують маркування взуття і достовірність зазначеної на ньому інформації. Якщо виробник не є резидентом України (та у разі відсутності уповноваженого представника), цей обов’язок покладається на особу, яка вводить в обіг взуття на ринку України. Продавець має переконатися, що взуття, яке він продає, містить маркування, передбачене цим Технічним регламентом.</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37" w:name="n39"/>
      <w:bookmarkEnd w:id="37"/>
      <w:r w:rsidRPr="00AA3F0E">
        <w:rPr>
          <w:rFonts w:ascii="Times New Roman" w:eastAsia="Times New Roman" w:hAnsi="Times New Roman" w:cs="Times New Roman"/>
          <w:color w:val="333333"/>
          <w:sz w:val="19"/>
          <w:szCs w:val="19"/>
          <w:lang w:eastAsia="ru-RU"/>
        </w:rPr>
        <w:t>10. За потреби маркування взуття, здійснене згідно з цим Технічним регламентом, може супроводжуватися нанесенням додаткових текстових позначень.</w:t>
      </w:r>
    </w:p>
    <w:tbl>
      <w:tblPr>
        <w:tblW w:w="5000" w:type="pct"/>
        <w:tblCellMar>
          <w:left w:w="0" w:type="dxa"/>
          <w:right w:w="0" w:type="dxa"/>
        </w:tblCellMar>
        <w:tblLook w:val="04A0"/>
      </w:tblPr>
      <w:tblGrid>
        <w:gridCol w:w="3931"/>
        <w:gridCol w:w="281"/>
        <w:gridCol w:w="5149"/>
      </w:tblGrid>
      <w:tr w:rsidR="00AA3F0E" w:rsidRPr="00AA3F0E" w:rsidTr="00AA3F0E">
        <w:tc>
          <w:tcPr>
            <w:tcW w:w="21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232" w:after="116" w:line="240" w:lineRule="auto"/>
              <w:jc w:val="center"/>
              <w:rPr>
                <w:rFonts w:ascii="Times New Roman" w:eastAsia="Times New Roman" w:hAnsi="Times New Roman" w:cs="Times New Roman"/>
                <w:sz w:val="24"/>
                <w:szCs w:val="24"/>
                <w:lang w:eastAsia="ru-RU"/>
              </w:rPr>
            </w:pPr>
            <w:bookmarkStart w:id="38" w:name="n40"/>
            <w:bookmarkEnd w:id="38"/>
            <w:r w:rsidRPr="00AA3F0E">
              <w:rPr>
                <w:rFonts w:ascii="Times New Roman" w:eastAsia="Times New Roman" w:hAnsi="Times New Roman" w:cs="Times New Roman"/>
                <w:b/>
                <w:bCs/>
                <w:sz w:val="24"/>
                <w:szCs w:val="24"/>
                <w:lang w:eastAsia="ru-RU"/>
              </w:rPr>
              <w:t>Директор департаменту</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технічного регулювання</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Міністерства економічного</w:t>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розвитку і торгівлі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232" w:after="0" w:line="240" w:lineRule="auto"/>
              <w:jc w:val="righ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sz w:val="24"/>
                <w:szCs w:val="24"/>
                <w:lang w:eastAsia="ru-RU"/>
              </w:rPr>
              <w:br/>
            </w:r>
            <w:r w:rsidRPr="00AA3F0E">
              <w:rPr>
                <w:rFonts w:ascii="Times New Roman" w:eastAsia="Times New Roman" w:hAnsi="Times New Roman" w:cs="Times New Roman"/>
                <w:b/>
                <w:bCs/>
                <w:sz w:val="24"/>
                <w:szCs w:val="24"/>
                <w:lang w:eastAsia="ru-RU"/>
              </w:rPr>
              <w:t>Л.М. Віткін</w:t>
            </w:r>
          </w:p>
        </w:tc>
      </w:tr>
      <w:tr w:rsidR="00AA3F0E" w:rsidRPr="00AA3F0E" w:rsidTr="00AA3F0E">
        <w:tc>
          <w:tcPr>
            <w:tcW w:w="2250" w:type="pct"/>
            <w:gridSpan w:val="2"/>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bookmarkStart w:id="39" w:name="n60"/>
            <w:bookmarkStart w:id="40" w:name="n41"/>
            <w:bookmarkEnd w:id="39"/>
            <w:bookmarkEnd w:id="40"/>
          </w:p>
        </w:tc>
        <w:tc>
          <w:tcPr>
            <w:tcW w:w="2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Додаток 1</w:t>
            </w:r>
            <w:r w:rsidRPr="00AA3F0E">
              <w:rPr>
                <w:rFonts w:ascii="Times New Roman" w:eastAsia="Times New Roman" w:hAnsi="Times New Roman" w:cs="Times New Roman"/>
                <w:sz w:val="24"/>
                <w:szCs w:val="24"/>
                <w:lang w:eastAsia="ru-RU"/>
              </w:rPr>
              <w:br/>
              <w:t>до Технічного регламенту</w:t>
            </w:r>
            <w:r w:rsidRPr="00AA3F0E">
              <w:rPr>
                <w:rFonts w:ascii="Times New Roman" w:eastAsia="Times New Roman" w:hAnsi="Times New Roman" w:cs="Times New Roman"/>
                <w:sz w:val="24"/>
                <w:szCs w:val="24"/>
                <w:lang w:eastAsia="ru-RU"/>
              </w:rPr>
              <w:br/>
              <w:t>маркування матеріалів,</w:t>
            </w:r>
            <w:r w:rsidRPr="00AA3F0E">
              <w:rPr>
                <w:rFonts w:ascii="Times New Roman" w:eastAsia="Times New Roman" w:hAnsi="Times New Roman" w:cs="Times New Roman"/>
                <w:sz w:val="24"/>
                <w:szCs w:val="24"/>
                <w:lang w:eastAsia="ru-RU"/>
              </w:rPr>
              <w:br/>
              <w:t>що використовуються</w:t>
            </w:r>
            <w:r w:rsidRPr="00AA3F0E">
              <w:rPr>
                <w:rFonts w:ascii="Times New Roman" w:eastAsia="Times New Roman" w:hAnsi="Times New Roman" w:cs="Times New Roman"/>
                <w:sz w:val="24"/>
                <w:szCs w:val="24"/>
                <w:lang w:eastAsia="ru-RU"/>
              </w:rPr>
              <w:br/>
              <w:t>для виготовлення основних</w:t>
            </w:r>
            <w:r w:rsidRPr="00AA3F0E">
              <w:rPr>
                <w:rFonts w:ascii="Times New Roman" w:eastAsia="Times New Roman" w:hAnsi="Times New Roman" w:cs="Times New Roman"/>
                <w:sz w:val="24"/>
                <w:szCs w:val="24"/>
                <w:lang w:eastAsia="ru-RU"/>
              </w:rPr>
              <w:br/>
              <w:t>складових взуття, яке надходить</w:t>
            </w:r>
            <w:r w:rsidRPr="00AA3F0E">
              <w:rPr>
                <w:rFonts w:ascii="Times New Roman" w:eastAsia="Times New Roman" w:hAnsi="Times New Roman" w:cs="Times New Roman"/>
                <w:sz w:val="24"/>
                <w:szCs w:val="24"/>
                <w:lang w:eastAsia="ru-RU"/>
              </w:rPr>
              <w:br/>
              <w:t>для продажу споживачу</w:t>
            </w:r>
            <w:r w:rsidRPr="00AA3F0E">
              <w:rPr>
                <w:rFonts w:ascii="Times New Roman" w:eastAsia="Times New Roman" w:hAnsi="Times New Roman" w:cs="Times New Roman"/>
                <w:sz w:val="24"/>
                <w:szCs w:val="24"/>
                <w:lang w:eastAsia="ru-RU"/>
              </w:rPr>
              <w:br/>
              <w:t>(пункт 2)</w:t>
            </w:r>
          </w:p>
        </w:tc>
      </w:tr>
    </w:tbl>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41" w:name="n42"/>
      <w:bookmarkEnd w:id="41"/>
      <w:r w:rsidRPr="00AA3F0E">
        <w:rPr>
          <w:rFonts w:ascii="Times New Roman" w:eastAsia="Times New Roman" w:hAnsi="Times New Roman" w:cs="Times New Roman"/>
          <w:b/>
          <w:bCs/>
          <w:color w:val="333333"/>
          <w:sz w:val="24"/>
          <w:szCs w:val="24"/>
          <w:lang w:eastAsia="ru-RU"/>
        </w:rPr>
        <w:t>1. Визначення і відповідні піктограми чи текстові позначення щодо складових взуття</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2538"/>
        <w:gridCol w:w="5245"/>
        <w:gridCol w:w="1596"/>
      </w:tblGrid>
      <w:tr w:rsidR="00AA3F0E" w:rsidRPr="00AA3F0E" w:rsidTr="00AA3F0E">
        <w:trPr>
          <w:trHeight w:val="300"/>
        </w:trPr>
        <w:tc>
          <w:tcPr>
            <w:tcW w:w="259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240" w:lineRule="auto"/>
              <w:jc w:val="center"/>
              <w:rPr>
                <w:rFonts w:ascii="Times New Roman" w:eastAsia="Times New Roman" w:hAnsi="Times New Roman" w:cs="Times New Roman"/>
                <w:sz w:val="24"/>
                <w:szCs w:val="24"/>
                <w:lang w:eastAsia="ru-RU"/>
              </w:rPr>
            </w:pPr>
            <w:bookmarkStart w:id="42" w:name="n43"/>
            <w:bookmarkEnd w:id="42"/>
            <w:r w:rsidRPr="00AA3F0E">
              <w:rPr>
                <w:rFonts w:ascii="Times New Roman" w:eastAsia="Times New Roman" w:hAnsi="Times New Roman" w:cs="Times New Roman"/>
                <w:sz w:val="24"/>
                <w:szCs w:val="24"/>
                <w:lang w:eastAsia="ru-RU"/>
              </w:rPr>
              <w:lastRenderedPageBreak/>
              <w:t>Складові взуття</w:t>
            </w:r>
          </w:p>
        </w:tc>
        <w:tc>
          <w:tcPr>
            <w:tcW w:w="2988"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240" w:lineRule="auto"/>
              <w:jc w:val="center"/>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Піктограми</w:t>
            </w:r>
          </w:p>
        </w:tc>
        <w:tc>
          <w:tcPr>
            <w:tcW w:w="1620"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240" w:lineRule="auto"/>
              <w:jc w:val="center"/>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Текстові позначення</w:t>
            </w:r>
          </w:p>
        </w:tc>
      </w:tr>
      <w:tr w:rsidR="00AA3F0E" w:rsidRPr="00AA3F0E" w:rsidTr="00AA3F0E">
        <w:trPr>
          <w:trHeight w:val="48"/>
        </w:trPr>
        <w:tc>
          <w:tcPr>
            <w:tcW w:w="259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Верх - зовнішня частина</w:t>
            </w:r>
            <w:r w:rsidRPr="00AA3F0E">
              <w:rPr>
                <w:rFonts w:ascii="Times New Roman" w:eastAsia="Times New Roman" w:hAnsi="Times New Roman" w:cs="Times New Roman"/>
                <w:sz w:val="24"/>
                <w:szCs w:val="24"/>
                <w:lang w:eastAsia="ru-RU"/>
              </w:rPr>
              <w:br/>
              <w:t>структурного елемента, що прикріплюється до підошви</w:t>
            </w:r>
          </w:p>
        </w:tc>
        <w:tc>
          <w:tcPr>
            <w:tcW w:w="2988"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96285" cy="1349375"/>
                  <wp:effectExtent l="19050" t="0" r="0" b="0"/>
                  <wp:docPr id="3" name="Рисунок 3" descr="https://zakon.rada.gov.ua/laws/file/imgs/71/p483866n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71/p483866n43.jpg"/>
                          <pic:cNvPicPr>
                            <a:picLocks noChangeAspect="1" noChangeArrowheads="1"/>
                          </pic:cNvPicPr>
                        </pic:nvPicPr>
                        <pic:blipFill>
                          <a:blip r:embed="rId17" cstate="print"/>
                          <a:srcRect/>
                          <a:stretch>
                            <a:fillRect/>
                          </a:stretch>
                        </pic:blipFill>
                        <pic:spPr bwMode="auto">
                          <a:xfrm>
                            <a:off x="0" y="0"/>
                            <a:ext cx="3296285" cy="1349375"/>
                          </a:xfrm>
                          <a:prstGeom prst="rect">
                            <a:avLst/>
                          </a:prstGeom>
                          <a:noFill/>
                          <a:ln w="9525">
                            <a:noFill/>
                            <a:miter lim="800000"/>
                            <a:headEnd/>
                            <a:tailEnd/>
                          </a:ln>
                        </pic:spPr>
                      </pic:pic>
                    </a:graphicData>
                  </a:graphic>
                </wp:inline>
              </w:drawing>
            </w:r>
          </w:p>
        </w:tc>
        <w:tc>
          <w:tcPr>
            <w:tcW w:w="1620"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верх взуття</w:t>
            </w:r>
          </w:p>
        </w:tc>
      </w:tr>
      <w:tr w:rsidR="00AA3F0E" w:rsidRPr="00AA3F0E" w:rsidTr="00AA3F0E">
        <w:trPr>
          <w:trHeight w:val="48"/>
        </w:trPr>
        <w:tc>
          <w:tcPr>
            <w:tcW w:w="259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Підкладка й устілка -</w:t>
            </w:r>
            <w:r w:rsidRPr="00AA3F0E">
              <w:rPr>
                <w:rFonts w:ascii="Times New Roman" w:eastAsia="Times New Roman" w:hAnsi="Times New Roman" w:cs="Times New Roman"/>
                <w:sz w:val="24"/>
                <w:szCs w:val="24"/>
                <w:lang w:eastAsia="ru-RU"/>
              </w:rPr>
              <w:br/>
              <w:t>верхня частина взуття</w:t>
            </w:r>
            <w:r w:rsidRPr="00AA3F0E">
              <w:rPr>
                <w:rFonts w:ascii="Times New Roman" w:eastAsia="Times New Roman" w:hAnsi="Times New Roman" w:cs="Times New Roman"/>
                <w:sz w:val="24"/>
                <w:szCs w:val="24"/>
                <w:lang w:eastAsia="ru-RU"/>
              </w:rPr>
              <w:br/>
              <w:t>та устілка, що формують</w:t>
            </w:r>
            <w:r w:rsidRPr="00AA3F0E">
              <w:rPr>
                <w:rFonts w:ascii="Times New Roman" w:eastAsia="Times New Roman" w:hAnsi="Times New Roman" w:cs="Times New Roman"/>
                <w:sz w:val="24"/>
                <w:szCs w:val="24"/>
                <w:lang w:eastAsia="ru-RU"/>
              </w:rPr>
              <w:br/>
              <w:t>внутрішню поверхню взуття</w:t>
            </w:r>
          </w:p>
        </w:tc>
        <w:tc>
          <w:tcPr>
            <w:tcW w:w="2988"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44850" cy="1467485"/>
                  <wp:effectExtent l="19050" t="0" r="0" b="0"/>
                  <wp:docPr id="4" name="Рисунок 4" descr="https://zakon.rada.gov.ua/laws/file/imgs/71/p483866n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71/p483866n43-1.jpg"/>
                          <pic:cNvPicPr>
                            <a:picLocks noChangeAspect="1" noChangeArrowheads="1"/>
                          </pic:cNvPicPr>
                        </pic:nvPicPr>
                        <pic:blipFill>
                          <a:blip r:embed="rId18" cstate="print"/>
                          <a:srcRect/>
                          <a:stretch>
                            <a:fillRect/>
                          </a:stretch>
                        </pic:blipFill>
                        <pic:spPr bwMode="auto">
                          <a:xfrm>
                            <a:off x="0" y="0"/>
                            <a:ext cx="3244850" cy="1467485"/>
                          </a:xfrm>
                          <a:prstGeom prst="rect">
                            <a:avLst/>
                          </a:prstGeom>
                          <a:noFill/>
                          <a:ln w="9525">
                            <a:noFill/>
                            <a:miter lim="800000"/>
                            <a:headEnd/>
                            <a:tailEnd/>
                          </a:ln>
                        </pic:spPr>
                      </pic:pic>
                    </a:graphicData>
                  </a:graphic>
                </wp:inline>
              </w:drawing>
            </w:r>
          </w:p>
        </w:tc>
        <w:tc>
          <w:tcPr>
            <w:tcW w:w="1620"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підкладка і устілка</w:t>
            </w:r>
          </w:p>
        </w:tc>
      </w:tr>
      <w:tr w:rsidR="00AA3F0E" w:rsidRPr="00AA3F0E" w:rsidTr="00AA3F0E">
        <w:trPr>
          <w:trHeight w:val="48"/>
        </w:trPr>
        <w:tc>
          <w:tcPr>
            <w:tcW w:w="259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Підошва - зовнішня деталь</w:t>
            </w:r>
            <w:r w:rsidRPr="00AA3F0E">
              <w:rPr>
                <w:rFonts w:ascii="Times New Roman" w:eastAsia="Times New Roman" w:hAnsi="Times New Roman" w:cs="Times New Roman"/>
                <w:sz w:val="24"/>
                <w:szCs w:val="24"/>
                <w:lang w:eastAsia="ru-RU"/>
              </w:rPr>
              <w:br/>
              <w:t>низу взуття, що підлягає</w:t>
            </w:r>
            <w:r w:rsidRPr="00AA3F0E">
              <w:rPr>
                <w:rFonts w:ascii="Times New Roman" w:eastAsia="Times New Roman" w:hAnsi="Times New Roman" w:cs="Times New Roman"/>
                <w:sz w:val="24"/>
                <w:szCs w:val="24"/>
                <w:lang w:eastAsia="ru-RU"/>
              </w:rPr>
              <w:br/>
              <w:t>абразивному зносу</w:t>
            </w:r>
            <w:r w:rsidRPr="00AA3F0E">
              <w:rPr>
                <w:rFonts w:ascii="Times New Roman" w:eastAsia="Times New Roman" w:hAnsi="Times New Roman" w:cs="Times New Roman"/>
                <w:sz w:val="24"/>
                <w:szCs w:val="24"/>
                <w:lang w:eastAsia="ru-RU"/>
              </w:rPr>
              <w:br/>
              <w:t>та прикріплена до верху взуття</w:t>
            </w:r>
          </w:p>
        </w:tc>
        <w:tc>
          <w:tcPr>
            <w:tcW w:w="2988"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44850" cy="1696085"/>
                  <wp:effectExtent l="19050" t="0" r="0" b="0"/>
                  <wp:docPr id="5" name="Рисунок 5" descr="https://zakon.rada.gov.ua/laws/file/imgs/71/p483866n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71/p483866n43-2.jpg"/>
                          <pic:cNvPicPr>
                            <a:picLocks noChangeAspect="1" noChangeArrowheads="1"/>
                          </pic:cNvPicPr>
                        </pic:nvPicPr>
                        <pic:blipFill>
                          <a:blip r:embed="rId19" cstate="print"/>
                          <a:srcRect/>
                          <a:stretch>
                            <a:fillRect/>
                          </a:stretch>
                        </pic:blipFill>
                        <pic:spPr bwMode="auto">
                          <a:xfrm>
                            <a:off x="0" y="0"/>
                            <a:ext cx="3244850" cy="1696085"/>
                          </a:xfrm>
                          <a:prstGeom prst="rect">
                            <a:avLst/>
                          </a:prstGeom>
                          <a:noFill/>
                          <a:ln w="9525">
                            <a:noFill/>
                            <a:miter lim="800000"/>
                            <a:headEnd/>
                            <a:tailEnd/>
                          </a:ln>
                        </pic:spPr>
                      </pic:pic>
                    </a:graphicData>
                  </a:graphic>
                </wp:inline>
              </w:drawing>
            </w:r>
          </w:p>
        </w:tc>
        <w:tc>
          <w:tcPr>
            <w:tcW w:w="1620"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48"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підошва</w:t>
            </w:r>
          </w:p>
        </w:tc>
      </w:tr>
    </w:tbl>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43" w:name="n44"/>
      <w:bookmarkEnd w:id="43"/>
      <w:r w:rsidRPr="00AA3F0E">
        <w:rPr>
          <w:rFonts w:ascii="Times New Roman" w:eastAsia="Times New Roman" w:hAnsi="Times New Roman" w:cs="Times New Roman"/>
          <w:b/>
          <w:bCs/>
          <w:color w:val="333333"/>
          <w:sz w:val="24"/>
          <w:szCs w:val="24"/>
          <w:lang w:eastAsia="ru-RU"/>
        </w:rPr>
        <w:t>2. Визначення матеріалів та відповідні піктограми</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44" w:name="n45"/>
      <w:bookmarkEnd w:id="44"/>
      <w:r w:rsidRPr="00AA3F0E">
        <w:rPr>
          <w:rFonts w:ascii="Times New Roman" w:eastAsia="Times New Roman" w:hAnsi="Times New Roman" w:cs="Times New Roman"/>
          <w:color w:val="333333"/>
          <w:sz w:val="19"/>
          <w:szCs w:val="19"/>
          <w:lang w:eastAsia="ru-RU"/>
        </w:rPr>
        <w:t>Піктограми щодо матеріалів наносять на маркування поряд з піктограмами, що стосуються трьох складових взуття, відповідно до </w:t>
      </w:r>
      <w:hyperlink r:id="rId20" w:anchor="n34" w:history="1">
        <w:r w:rsidRPr="00AA3F0E">
          <w:rPr>
            <w:rFonts w:ascii="Times New Roman" w:eastAsia="Times New Roman" w:hAnsi="Times New Roman" w:cs="Times New Roman"/>
            <w:color w:val="006600"/>
            <w:sz w:val="24"/>
            <w:szCs w:val="24"/>
            <w:u w:val="single"/>
            <w:lang w:eastAsia="ru-RU"/>
          </w:rPr>
          <w:t>пункту 9</w:t>
        </w:r>
      </w:hyperlink>
      <w:r w:rsidRPr="00AA3F0E">
        <w:rPr>
          <w:rFonts w:ascii="Times New Roman" w:eastAsia="Times New Roman" w:hAnsi="Times New Roman" w:cs="Times New Roman"/>
          <w:color w:val="333333"/>
          <w:sz w:val="19"/>
          <w:szCs w:val="19"/>
          <w:lang w:eastAsia="ru-RU"/>
        </w:rPr>
        <w:t> Технічного регламенту маркування матеріалів, що використовуються для виготовлення основних складових взуття, яке надходить для продажу споживачу, та пункту 1 цього додатка.</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3771"/>
        <w:gridCol w:w="3477"/>
        <w:gridCol w:w="2131"/>
      </w:tblGrid>
      <w:tr w:rsidR="00AA3F0E" w:rsidRPr="00AA3F0E" w:rsidTr="00AA3F0E">
        <w:trPr>
          <w:trHeight w:val="96"/>
        </w:trPr>
        <w:tc>
          <w:tcPr>
            <w:tcW w:w="331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jc w:val="center"/>
              <w:rPr>
                <w:rFonts w:ascii="Times New Roman" w:eastAsia="Times New Roman" w:hAnsi="Times New Roman" w:cs="Times New Roman"/>
                <w:sz w:val="24"/>
                <w:szCs w:val="24"/>
                <w:lang w:eastAsia="ru-RU"/>
              </w:rPr>
            </w:pPr>
            <w:bookmarkStart w:id="45" w:name="n46"/>
            <w:bookmarkEnd w:id="45"/>
            <w:r w:rsidRPr="00AA3F0E">
              <w:rPr>
                <w:rFonts w:ascii="Times New Roman" w:eastAsia="Times New Roman" w:hAnsi="Times New Roman" w:cs="Times New Roman"/>
                <w:sz w:val="24"/>
                <w:szCs w:val="24"/>
                <w:lang w:eastAsia="ru-RU"/>
              </w:rPr>
              <w:t>Визначення матеріалів</w:t>
            </w:r>
          </w:p>
        </w:tc>
        <w:tc>
          <w:tcPr>
            <w:tcW w:w="2304"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jc w:val="center"/>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Піктограма</w:t>
            </w:r>
          </w:p>
        </w:tc>
        <w:tc>
          <w:tcPr>
            <w:tcW w:w="187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jc w:val="center"/>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Текстові позначення</w:t>
            </w:r>
          </w:p>
        </w:tc>
      </w:tr>
      <w:tr w:rsidR="00AA3F0E" w:rsidRPr="00AA3F0E" w:rsidTr="00AA3F0E">
        <w:trPr>
          <w:trHeight w:val="96"/>
        </w:trPr>
        <w:tc>
          <w:tcPr>
            <w:tcW w:w="331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lastRenderedPageBreak/>
              <w:t>Шкіра - загальний термін, який використовується для шкур тварин, що мають оригінальну дублену структуру волокон, яка запобігає їх псуванню (шерсть або волосяний покрив при цьому може бути видаленим або ні).</w:t>
            </w:r>
            <w:r w:rsidRPr="00AA3F0E">
              <w:rPr>
                <w:rFonts w:ascii="Times New Roman" w:eastAsia="Times New Roman" w:hAnsi="Times New Roman" w:cs="Times New Roman"/>
                <w:sz w:val="24"/>
                <w:szCs w:val="24"/>
                <w:lang w:eastAsia="ru-RU"/>
              </w:rPr>
              <w:br/>
              <w:t>Шкіра також виготовляється зі шкур, які попередньо піддавались двоїнню</w:t>
            </w:r>
            <w:r w:rsidRPr="00AA3F0E">
              <w:rPr>
                <w:rFonts w:ascii="Times New Roman" w:eastAsia="Times New Roman" w:hAnsi="Times New Roman" w:cs="Times New Roman"/>
                <w:sz w:val="24"/>
                <w:szCs w:val="24"/>
                <w:lang w:eastAsia="ru-RU"/>
              </w:rPr>
              <w:br/>
              <w:t>або були розділені на шари у будь-який спосіб до або після дублення. Якщо дублена шкура розщеплюється механічним та/або хімічним способом на волокнисті частини, маленькі шматочки або порошки і потім в комбінації або без із в’яжучими речовинами виготовляється у вигляді листів або інших форм, такі листи або форми не можуть називатися шкірою.</w:t>
            </w:r>
            <w:r w:rsidRPr="00AA3F0E">
              <w:rPr>
                <w:rFonts w:ascii="Times New Roman" w:eastAsia="Times New Roman" w:hAnsi="Times New Roman" w:cs="Times New Roman"/>
                <w:sz w:val="24"/>
                <w:szCs w:val="24"/>
                <w:lang w:eastAsia="ru-RU"/>
              </w:rPr>
              <w:br/>
              <w:t>Якщо шкіра має покриття на лицьовій поверхні, що нанесено або приклеєно, такий шар має бути не товщим за 0,15 мм.</w:t>
            </w:r>
            <w:r w:rsidRPr="00AA3F0E">
              <w:rPr>
                <w:rFonts w:ascii="Times New Roman" w:eastAsia="Times New Roman" w:hAnsi="Times New Roman" w:cs="Times New Roman"/>
                <w:sz w:val="24"/>
                <w:szCs w:val="24"/>
                <w:lang w:eastAsia="ru-RU"/>
              </w:rPr>
              <w:br/>
              <w:t>Покриття шкіри має здійснюватись без порушень вимог, визначених законодавством, у тому числі </w:t>
            </w:r>
            <w:hyperlink r:id="rId21" w:tgtFrame="_blank" w:history="1">
              <w:r w:rsidRPr="00AA3F0E">
                <w:rPr>
                  <w:rFonts w:ascii="Times New Roman" w:eastAsia="Times New Roman" w:hAnsi="Times New Roman" w:cs="Times New Roman"/>
                  <w:color w:val="000099"/>
                  <w:sz w:val="24"/>
                  <w:szCs w:val="24"/>
                  <w:u w:val="single"/>
                  <w:lang w:eastAsia="ru-RU"/>
                </w:rPr>
                <w:t>Конвенцією про міжнародну торгівлю видами дикої фауни і флори, що перебувають під загрозою зникнення</w:t>
              </w:r>
            </w:hyperlink>
            <w:r w:rsidRPr="00AA3F0E">
              <w:rPr>
                <w:rFonts w:ascii="Times New Roman" w:eastAsia="Times New Roman" w:hAnsi="Times New Roman" w:cs="Times New Roman"/>
                <w:sz w:val="24"/>
                <w:szCs w:val="24"/>
                <w:lang w:eastAsia="ru-RU"/>
              </w:rPr>
              <w:t>, підписаною 03 березня 1973 року в м. Вашингтоні, до якої Україна приєдналася відповідно до Закону України від 14 травня 1999 року </w:t>
            </w:r>
            <w:hyperlink r:id="rId22" w:tgtFrame="_blank" w:history="1">
              <w:r w:rsidRPr="00AA3F0E">
                <w:rPr>
                  <w:rFonts w:ascii="Times New Roman" w:eastAsia="Times New Roman" w:hAnsi="Times New Roman" w:cs="Times New Roman"/>
                  <w:color w:val="000099"/>
                  <w:sz w:val="24"/>
                  <w:szCs w:val="24"/>
                  <w:u w:val="single"/>
                  <w:lang w:eastAsia="ru-RU"/>
                </w:rPr>
                <w:t>№ 662-XIV</w:t>
              </w:r>
            </w:hyperlink>
            <w:r w:rsidRPr="00AA3F0E">
              <w:rPr>
                <w:rFonts w:ascii="Times New Roman" w:eastAsia="Times New Roman" w:hAnsi="Times New Roman" w:cs="Times New Roman"/>
                <w:sz w:val="24"/>
                <w:szCs w:val="24"/>
                <w:lang w:eastAsia="ru-RU"/>
              </w:rPr>
              <w:t>.</w:t>
            </w:r>
            <w:r w:rsidRPr="00AA3F0E">
              <w:rPr>
                <w:rFonts w:ascii="Times New Roman" w:eastAsia="Times New Roman" w:hAnsi="Times New Roman" w:cs="Times New Roman"/>
                <w:sz w:val="24"/>
                <w:szCs w:val="24"/>
                <w:lang w:eastAsia="ru-RU"/>
              </w:rPr>
              <w:br/>
              <w:t>Термін «шкіра з натуральною лицьовою поверхнею» може бути використаний як додаткове текстове позначення, передбачене </w:t>
            </w:r>
            <w:hyperlink r:id="rId23" w:anchor="n39" w:history="1">
              <w:r w:rsidRPr="00AA3F0E">
                <w:rPr>
                  <w:rFonts w:ascii="Times New Roman" w:eastAsia="Times New Roman" w:hAnsi="Times New Roman" w:cs="Times New Roman"/>
                  <w:color w:val="006600"/>
                  <w:sz w:val="24"/>
                  <w:szCs w:val="24"/>
                  <w:u w:val="single"/>
                  <w:lang w:eastAsia="ru-RU"/>
                </w:rPr>
                <w:t>пунктом 10</w:t>
              </w:r>
            </w:hyperlink>
            <w:r w:rsidRPr="00AA3F0E">
              <w:rPr>
                <w:rFonts w:ascii="Times New Roman" w:eastAsia="Times New Roman" w:hAnsi="Times New Roman" w:cs="Times New Roman"/>
                <w:sz w:val="24"/>
                <w:szCs w:val="24"/>
                <w:lang w:eastAsia="ru-RU"/>
              </w:rPr>
              <w:t> Технічного регламенту маркування матеріалів, що використовуються для виготовлення основних складових взуття, яке надходить для продажу споживачу, та застосовуватися до шкіри з натуральною лицьовою поверхнею, яка має видалений епідерміс, але не піддавалась обробці на таких операціях, як шліфування, заглажування, двоїння</w:t>
            </w:r>
          </w:p>
        </w:tc>
        <w:tc>
          <w:tcPr>
            <w:tcW w:w="2304"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5475" cy="2477770"/>
                  <wp:effectExtent l="19050" t="0" r="9525" b="0"/>
                  <wp:docPr id="6" name="Рисунок 6" descr="https://zakon.rada.gov.ua/laws/file/imgs/71/p483866n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71/p483866n46-3.jpg"/>
                          <pic:cNvPicPr>
                            <a:picLocks noChangeAspect="1" noChangeArrowheads="1"/>
                          </pic:cNvPicPr>
                        </pic:nvPicPr>
                        <pic:blipFill>
                          <a:blip r:embed="rId24" cstate="print"/>
                          <a:srcRect/>
                          <a:stretch>
                            <a:fillRect/>
                          </a:stretch>
                        </pic:blipFill>
                        <pic:spPr bwMode="auto">
                          <a:xfrm>
                            <a:off x="0" y="0"/>
                            <a:ext cx="1895475" cy="2477770"/>
                          </a:xfrm>
                          <a:prstGeom prst="rect">
                            <a:avLst/>
                          </a:prstGeom>
                          <a:noFill/>
                          <a:ln w="9525">
                            <a:noFill/>
                            <a:miter lim="800000"/>
                            <a:headEnd/>
                            <a:tailEnd/>
                          </a:ln>
                        </pic:spPr>
                      </pic:pic>
                    </a:graphicData>
                  </a:graphic>
                </wp:inline>
              </w:drawing>
            </w:r>
          </w:p>
        </w:tc>
        <w:tc>
          <w:tcPr>
            <w:tcW w:w="187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шкіра</w:t>
            </w:r>
          </w:p>
        </w:tc>
      </w:tr>
      <w:tr w:rsidR="00AA3F0E" w:rsidRPr="00AA3F0E" w:rsidTr="00AA3F0E">
        <w:trPr>
          <w:trHeight w:val="96"/>
        </w:trPr>
        <w:tc>
          <w:tcPr>
            <w:tcW w:w="331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lastRenderedPageBreak/>
              <w:t>Шкіра з покриттям - шкіра, що має на лицьовій поверхні нанесене покриття, товщина якого не перевищує третьої частини товщини шкіри і є більшою за 0,15 мм</w:t>
            </w:r>
          </w:p>
        </w:tc>
        <w:tc>
          <w:tcPr>
            <w:tcW w:w="2304"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5475" cy="2499995"/>
                  <wp:effectExtent l="19050" t="0" r="9525" b="0"/>
                  <wp:docPr id="7" name="Рисунок 7" descr="https://zakon.rada.gov.ua/laws/file/imgs/71/p483866n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71/p483866n46-4.jpg"/>
                          <pic:cNvPicPr>
                            <a:picLocks noChangeAspect="1" noChangeArrowheads="1"/>
                          </pic:cNvPicPr>
                        </pic:nvPicPr>
                        <pic:blipFill>
                          <a:blip r:embed="rId25" cstate="print"/>
                          <a:srcRect/>
                          <a:stretch>
                            <a:fillRect/>
                          </a:stretch>
                        </pic:blipFill>
                        <pic:spPr bwMode="auto">
                          <a:xfrm>
                            <a:off x="0" y="0"/>
                            <a:ext cx="1895475" cy="2499995"/>
                          </a:xfrm>
                          <a:prstGeom prst="rect">
                            <a:avLst/>
                          </a:prstGeom>
                          <a:noFill/>
                          <a:ln w="9525">
                            <a:noFill/>
                            <a:miter lim="800000"/>
                            <a:headEnd/>
                            <a:tailEnd/>
                          </a:ln>
                        </pic:spPr>
                      </pic:pic>
                    </a:graphicData>
                  </a:graphic>
                </wp:inline>
              </w:drawing>
            </w:r>
          </w:p>
        </w:tc>
        <w:tc>
          <w:tcPr>
            <w:tcW w:w="187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шкіра з покриттям</w:t>
            </w:r>
          </w:p>
        </w:tc>
      </w:tr>
      <w:tr w:rsidR="00AA3F0E" w:rsidRPr="00AA3F0E" w:rsidTr="00AA3F0E">
        <w:trPr>
          <w:trHeight w:val="96"/>
        </w:trPr>
        <w:tc>
          <w:tcPr>
            <w:tcW w:w="331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Натуральний текстильний та синтетичний матеріал або нетканий текстильний матеріал (текстиль) - означає всі матеріали, на які поширюється дія постанови Кабінету Міністрів України від 14 січня 2009 року </w:t>
            </w:r>
            <w:hyperlink r:id="rId26" w:tgtFrame="_blank" w:history="1">
              <w:r w:rsidRPr="00AA3F0E">
                <w:rPr>
                  <w:rFonts w:ascii="Times New Roman" w:eastAsia="Times New Roman" w:hAnsi="Times New Roman" w:cs="Times New Roman"/>
                  <w:color w:val="000099"/>
                  <w:sz w:val="24"/>
                  <w:szCs w:val="24"/>
                  <w:u w:val="single"/>
                  <w:lang w:eastAsia="ru-RU"/>
                </w:rPr>
                <w:t>№ 13</w:t>
              </w:r>
            </w:hyperlink>
            <w:r w:rsidRPr="00AA3F0E">
              <w:rPr>
                <w:rFonts w:ascii="Times New Roman" w:eastAsia="Times New Roman" w:hAnsi="Times New Roman" w:cs="Times New Roman"/>
                <w:sz w:val="24"/>
                <w:szCs w:val="24"/>
                <w:lang w:eastAsia="ru-RU"/>
              </w:rPr>
              <w:t> «Про затвердження Технічного регламенту щодо назв текстильних волокон і маркування текстильних виробів»</w:t>
            </w:r>
          </w:p>
        </w:tc>
        <w:tc>
          <w:tcPr>
            <w:tcW w:w="2304"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95475" cy="1858010"/>
                  <wp:effectExtent l="19050" t="0" r="9525" b="0"/>
                  <wp:docPr id="8" name="Рисунок 8" descr="https://zakon.rada.gov.ua/laws/file/imgs/71/p483866n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71/p483866n46-5.jpg"/>
                          <pic:cNvPicPr>
                            <a:picLocks noChangeAspect="1" noChangeArrowheads="1"/>
                          </pic:cNvPicPr>
                        </pic:nvPicPr>
                        <pic:blipFill>
                          <a:blip r:embed="rId27" cstate="print"/>
                          <a:srcRect/>
                          <a:stretch>
                            <a:fillRect/>
                          </a:stretch>
                        </pic:blipFill>
                        <pic:spPr bwMode="auto">
                          <a:xfrm>
                            <a:off x="0" y="0"/>
                            <a:ext cx="1895475" cy="1858010"/>
                          </a:xfrm>
                          <a:prstGeom prst="rect">
                            <a:avLst/>
                          </a:prstGeom>
                          <a:noFill/>
                          <a:ln w="9525">
                            <a:noFill/>
                            <a:miter lim="800000"/>
                            <a:headEnd/>
                            <a:tailEnd/>
                          </a:ln>
                        </pic:spPr>
                      </pic:pic>
                    </a:graphicData>
                  </a:graphic>
                </wp:inline>
              </w:drawing>
            </w:r>
          </w:p>
        </w:tc>
        <w:tc>
          <w:tcPr>
            <w:tcW w:w="187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натуральний текстильний, синтетичний або нетканий текстильний матеріал</w:t>
            </w:r>
          </w:p>
        </w:tc>
      </w:tr>
      <w:tr w:rsidR="00AA3F0E" w:rsidRPr="00AA3F0E" w:rsidTr="00AA3F0E">
        <w:trPr>
          <w:trHeight w:val="96"/>
        </w:trPr>
        <w:tc>
          <w:tcPr>
            <w:tcW w:w="331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Інші матеріали</w:t>
            </w:r>
          </w:p>
        </w:tc>
        <w:tc>
          <w:tcPr>
            <w:tcW w:w="2304"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4805" cy="2131060"/>
                  <wp:effectExtent l="19050" t="0" r="4445" b="0"/>
                  <wp:docPr id="9" name="Рисунок 9" descr="https://zakon.rada.gov.ua/laws/file/imgs/71/p483866n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71/p483866n46-6.jpg"/>
                          <pic:cNvPicPr>
                            <a:picLocks noChangeAspect="1" noChangeArrowheads="1"/>
                          </pic:cNvPicPr>
                        </pic:nvPicPr>
                        <pic:blipFill>
                          <a:blip r:embed="rId28" cstate="print"/>
                          <a:srcRect/>
                          <a:stretch>
                            <a:fillRect/>
                          </a:stretch>
                        </pic:blipFill>
                        <pic:spPr bwMode="auto">
                          <a:xfrm>
                            <a:off x="0" y="0"/>
                            <a:ext cx="1614805" cy="2131060"/>
                          </a:xfrm>
                          <a:prstGeom prst="rect">
                            <a:avLst/>
                          </a:prstGeom>
                          <a:noFill/>
                          <a:ln w="9525">
                            <a:noFill/>
                            <a:miter lim="800000"/>
                            <a:headEnd/>
                            <a:tailEnd/>
                          </a:ln>
                        </pic:spPr>
                      </pic:pic>
                    </a:graphicData>
                  </a:graphic>
                </wp:inline>
              </w:drawing>
            </w:r>
          </w:p>
        </w:tc>
        <w:tc>
          <w:tcPr>
            <w:tcW w:w="1872" w:type="dxa"/>
            <w:tcBorders>
              <w:top w:val="single" w:sz="4" w:space="0" w:color="000000"/>
              <w:left w:val="single" w:sz="4" w:space="0" w:color="000000"/>
              <w:bottom w:val="single" w:sz="4" w:space="0" w:color="000000"/>
              <w:right w:val="single" w:sz="4" w:space="0" w:color="000000"/>
            </w:tcBorders>
            <w:hideMark/>
          </w:tcPr>
          <w:p w:rsidR="00AA3F0E" w:rsidRPr="00AA3F0E" w:rsidRDefault="00AA3F0E" w:rsidP="00AA3F0E">
            <w:pPr>
              <w:spacing w:before="116" w:after="116" w:line="96" w:lineRule="atLeast"/>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інші матеріали</w:t>
            </w:r>
          </w:p>
        </w:tc>
      </w:tr>
    </w:tbl>
    <w:p w:rsidR="00AA3F0E" w:rsidRPr="00AA3F0E" w:rsidRDefault="00AA3F0E" w:rsidP="00AA3F0E">
      <w:pPr>
        <w:spacing w:after="0" w:line="240" w:lineRule="auto"/>
        <w:rPr>
          <w:rFonts w:ascii="Times New Roman" w:eastAsia="Times New Roman" w:hAnsi="Times New Roman" w:cs="Times New Roman"/>
          <w:sz w:val="24"/>
          <w:szCs w:val="24"/>
          <w:lang w:eastAsia="ru-RU"/>
        </w:rPr>
      </w:pPr>
      <w:bookmarkStart w:id="46" w:name="n61"/>
      <w:bookmarkEnd w:id="46"/>
      <w:r w:rsidRPr="00AA3F0E">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tblPr>
      <w:tblGrid>
        <w:gridCol w:w="4956"/>
        <w:gridCol w:w="4405"/>
      </w:tblGrid>
      <w:tr w:rsidR="00AA3F0E" w:rsidRPr="00AA3F0E" w:rsidTr="00AA3F0E">
        <w:tc>
          <w:tcPr>
            <w:tcW w:w="225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bookmarkStart w:id="47" w:name="n47"/>
            <w:bookmarkEnd w:id="47"/>
          </w:p>
        </w:tc>
        <w:tc>
          <w:tcPr>
            <w:tcW w:w="2000" w:type="pct"/>
            <w:tcBorders>
              <w:top w:val="single" w:sz="2" w:space="0" w:color="auto"/>
              <w:left w:val="single" w:sz="2" w:space="0" w:color="auto"/>
              <w:bottom w:val="single" w:sz="2" w:space="0" w:color="auto"/>
              <w:right w:val="single" w:sz="2" w:space="0" w:color="auto"/>
            </w:tcBorders>
            <w:hideMark/>
          </w:tcPr>
          <w:p w:rsidR="00AA3F0E" w:rsidRPr="00AA3F0E" w:rsidRDefault="00AA3F0E" w:rsidP="00AA3F0E">
            <w:pPr>
              <w:spacing w:before="116" w:after="116" w:line="240" w:lineRule="auto"/>
              <w:rPr>
                <w:rFonts w:ascii="Times New Roman" w:eastAsia="Times New Roman" w:hAnsi="Times New Roman" w:cs="Times New Roman"/>
                <w:sz w:val="24"/>
                <w:szCs w:val="24"/>
                <w:lang w:eastAsia="ru-RU"/>
              </w:rPr>
            </w:pPr>
            <w:r w:rsidRPr="00AA3F0E">
              <w:rPr>
                <w:rFonts w:ascii="Times New Roman" w:eastAsia="Times New Roman" w:hAnsi="Times New Roman" w:cs="Times New Roman"/>
                <w:sz w:val="24"/>
                <w:szCs w:val="24"/>
                <w:lang w:eastAsia="ru-RU"/>
              </w:rPr>
              <w:t>Додаток 2</w:t>
            </w:r>
            <w:r w:rsidRPr="00AA3F0E">
              <w:rPr>
                <w:rFonts w:ascii="Times New Roman" w:eastAsia="Times New Roman" w:hAnsi="Times New Roman" w:cs="Times New Roman"/>
                <w:sz w:val="24"/>
                <w:szCs w:val="24"/>
                <w:lang w:eastAsia="ru-RU"/>
              </w:rPr>
              <w:br/>
              <w:t>до Технічного регламенту</w:t>
            </w:r>
            <w:r w:rsidRPr="00AA3F0E">
              <w:rPr>
                <w:rFonts w:ascii="Times New Roman" w:eastAsia="Times New Roman" w:hAnsi="Times New Roman" w:cs="Times New Roman"/>
                <w:sz w:val="24"/>
                <w:szCs w:val="24"/>
                <w:lang w:eastAsia="ru-RU"/>
              </w:rPr>
              <w:br/>
              <w:t>маркування матеріалів,</w:t>
            </w:r>
            <w:r w:rsidRPr="00AA3F0E">
              <w:rPr>
                <w:rFonts w:ascii="Times New Roman" w:eastAsia="Times New Roman" w:hAnsi="Times New Roman" w:cs="Times New Roman"/>
                <w:sz w:val="24"/>
                <w:szCs w:val="24"/>
                <w:lang w:eastAsia="ru-RU"/>
              </w:rPr>
              <w:br/>
              <w:t>що використовуються</w:t>
            </w:r>
            <w:r w:rsidRPr="00AA3F0E">
              <w:rPr>
                <w:rFonts w:ascii="Times New Roman" w:eastAsia="Times New Roman" w:hAnsi="Times New Roman" w:cs="Times New Roman"/>
                <w:sz w:val="24"/>
                <w:szCs w:val="24"/>
                <w:lang w:eastAsia="ru-RU"/>
              </w:rPr>
              <w:br/>
              <w:t>для виготовлення основних</w:t>
            </w:r>
            <w:r w:rsidRPr="00AA3F0E">
              <w:rPr>
                <w:rFonts w:ascii="Times New Roman" w:eastAsia="Times New Roman" w:hAnsi="Times New Roman" w:cs="Times New Roman"/>
                <w:sz w:val="24"/>
                <w:szCs w:val="24"/>
                <w:lang w:eastAsia="ru-RU"/>
              </w:rPr>
              <w:br/>
              <w:t>складових взуття, яке надходить</w:t>
            </w:r>
            <w:r w:rsidRPr="00AA3F0E">
              <w:rPr>
                <w:rFonts w:ascii="Times New Roman" w:eastAsia="Times New Roman" w:hAnsi="Times New Roman" w:cs="Times New Roman"/>
                <w:sz w:val="24"/>
                <w:szCs w:val="24"/>
                <w:lang w:eastAsia="ru-RU"/>
              </w:rPr>
              <w:br/>
              <w:t>для продажу споживачу</w:t>
            </w:r>
            <w:r w:rsidRPr="00AA3F0E">
              <w:rPr>
                <w:rFonts w:ascii="Times New Roman" w:eastAsia="Times New Roman" w:hAnsi="Times New Roman" w:cs="Times New Roman"/>
                <w:sz w:val="24"/>
                <w:szCs w:val="24"/>
                <w:lang w:eastAsia="ru-RU"/>
              </w:rPr>
              <w:br/>
              <w:t>(пункт 3)</w:t>
            </w:r>
          </w:p>
        </w:tc>
      </w:tr>
    </w:tbl>
    <w:p w:rsidR="00AA3F0E" w:rsidRPr="00AA3F0E" w:rsidRDefault="00AA3F0E" w:rsidP="00AA3F0E">
      <w:pPr>
        <w:shd w:val="clear" w:color="auto" w:fill="FFFFFF"/>
        <w:spacing w:before="116" w:after="116" w:line="240" w:lineRule="auto"/>
        <w:ind w:left="348" w:right="348"/>
        <w:jc w:val="center"/>
        <w:rPr>
          <w:rFonts w:ascii="Times New Roman" w:eastAsia="Times New Roman" w:hAnsi="Times New Roman" w:cs="Times New Roman"/>
          <w:color w:val="333333"/>
          <w:sz w:val="19"/>
          <w:szCs w:val="19"/>
          <w:lang w:eastAsia="ru-RU"/>
        </w:rPr>
      </w:pPr>
      <w:bookmarkStart w:id="48" w:name="n48"/>
      <w:bookmarkEnd w:id="48"/>
      <w:r w:rsidRPr="00AA3F0E">
        <w:rPr>
          <w:rFonts w:ascii="Times New Roman" w:eastAsia="Times New Roman" w:hAnsi="Times New Roman" w:cs="Times New Roman"/>
          <w:b/>
          <w:bCs/>
          <w:color w:val="333333"/>
          <w:sz w:val="28"/>
          <w:lang w:eastAsia="ru-RU"/>
        </w:rPr>
        <w:lastRenderedPageBreak/>
        <w:t>ПЕРЕЛІК</w:t>
      </w:r>
      <w:r w:rsidRPr="00AA3F0E">
        <w:rPr>
          <w:rFonts w:ascii="Times New Roman" w:eastAsia="Times New Roman" w:hAnsi="Times New Roman" w:cs="Times New Roman"/>
          <w:color w:val="333333"/>
          <w:sz w:val="19"/>
          <w:szCs w:val="19"/>
          <w:lang w:eastAsia="ru-RU"/>
        </w:rPr>
        <w:br/>
      </w:r>
      <w:r w:rsidRPr="00AA3F0E">
        <w:rPr>
          <w:rFonts w:ascii="Times New Roman" w:eastAsia="Times New Roman" w:hAnsi="Times New Roman" w:cs="Times New Roman"/>
          <w:b/>
          <w:bCs/>
          <w:color w:val="333333"/>
          <w:sz w:val="28"/>
          <w:lang w:eastAsia="ru-RU"/>
        </w:rPr>
        <w:t>взуття, на яке поширюється дія Технічного регламенту маркування матеріалів, що використовуються для виготовлення основних складових взуття, яке надходить для продажу споживачу</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49" w:name="n49"/>
      <w:bookmarkEnd w:id="49"/>
      <w:r w:rsidRPr="00AA3F0E">
        <w:rPr>
          <w:rFonts w:ascii="Times New Roman" w:eastAsia="Times New Roman" w:hAnsi="Times New Roman" w:cs="Times New Roman"/>
          <w:color w:val="333333"/>
          <w:sz w:val="19"/>
          <w:szCs w:val="19"/>
          <w:lang w:eastAsia="ru-RU"/>
        </w:rPr>
        <w:t>Взуття залежно від виду може мати різні конструктивні ознаки, що визначаються ступенем закритості ноги деталями верху взуття, починаючи з відкритих туфель (босоніжок), верхня частина яких може складатися лише з ремінців та стрічок, що можуть зніматися, і закінчуючи чоботами із завищеними халявами, верх яких закриває гомілку та стегно, а саме:</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0" w:name="n50"/>
      <w:bookmarkEnd w:id="50"/>
      <w:r w:rsidRPr="00AA3F0E">
        <w:rPr>
          <w:rFonts w:ascii="Times New Roman" w:eastAsia="Times New Roman" w:hAnsi="Times New Roman" w:cs="Times New Roman"/>
          <w:color w:val="333333"/>
          <w:sz w:val="19"/>
          <w:szCs w:val="19"/>
          <w:lang w:eastAsia="ru-RU"/>
        </w:rPr>
        <w:t>взуття без підборів або на високих підборах, призначене для звичайного використання у приміщенні або на вулиці;</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1" w:name="n51"/>
      <w:bookmarkEnd w:id="51"/>
      <w:r w:rsidRPr="00AA3F0E">
        <w:rPr>
          <w:rFonts w:ascii="Times New Roman" w:eastAsia="Times New Roman" w:hAnsi="Times New Roman" w:cs="Times New Roman"/>
          <w:color w:val="333333"/>
          <w:sz w:val="19"/>
          <w:szCs w:val="19"/>
          <w:lang w:eastAsia="ru-RU"/>
        </w:rPr>
        <w:t>черевики, босоніжки, чоботи до коліна та до стегна;</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2" w:name="n52"/>
      <w:bookmarkEnd w:id="52"/>
      <w:r w:rsidRPr="00AA3F0E">
        <w:rPr>
          <w:rFonts w:ascii="Times New Roman" w:eastAsia="Times New Roman" w:hAnsi="Times New Roman" w:cs="Times New Roman"/>
          <w:color w:val="333333"/>
          <w:sz w:val="19"/>
          <w:szCs w:val="19"/>
          <w:lang w:eastAsia="ru-RU"/>
        </w:rPr>
        <w:t>сандалії різних видів, еспадрильї (полотняне взуття, підошва якого вироблена з використанням плетених рослинних матеріалів), взуття для тенісу, бігу та інших видів спорту, пляжні сандалі та інші види взуття для дозвілля;</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3" w:name="n53"/>
      <w:bookmarkEnd w:id="53"/>
      <w:r w:rsidRPr="00AA3F0E">
        <w:rPr>
          <w:rFonts w:ascii="Times New Roman" w:eastAsia="Times New Roman" w:hAnsi="Times New Roman" w:cs="Times New Roman"/>
          <w:color w:val="333333"/>
          <w:sz w:val="19"/>
          <w:szCs w:val="19"/>
          <w:lang w:eastAsia="ru-RU"/>
        </w:rPr>
        <w:t>спеціальне спортивне взуття, призначене для активних видів спорту, що має засоби для кріплення шипів, зубців, фіксаторів, затискачів, пряжок тощо, а також взуття для катання на ковзанах, лижні черевики та взуття для бігових лиж, взуття для занять боротьбою, боксом та велоспортом. Також до спеціального спортивного взуття включається інше комбіноване взуття, скріплене разом взуття та ковзани (льодові та роликові) та інші види взуття;</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4" w:name="n54"/>
      <w:bookmarkEnd w:id="54"/>
      <w:r w:rsidRPr="00AA3F0E">
        <w:rPr>
          <w:rFonts w:ascii="Times New Roman" w:eastAsia="Times New Roman" w:hAnsi="Times New Roman" w:cs="Times New Roman"/>
          <w:color w:val="333333"/>
          <w:sz w:val="19"/>
          <w:szCs w:val="19"/>
          <w:lang w:eastAsia="ru-RU"/>
        </w:rPr>
        <w:t>тапочки для танців;</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5" w:name="n55"/>
      <w:bookmarkEnd w:id="55"/>
      <w:r w:rsidRPr="00AA3F0E">
        <w:rPr>
          <w:rFonts w:ascii="Times New Roman" w:eastAsia="Times New Roman" w:hAnsi="Times New Roman" w:cs="Times New Roman"/>
          <w:color w:val="333333"/>
          <w:sz w:val="19"/>
          <w:szCs w:val="19"/>
          <w:lang w:eastAsia="ru-RU"/>
        </w:rPr>
        <w:t>взуття суцільнолите - взуття, виготовлене, зокрема, способом лиття гуми або пластмаси, за винятком одноразового взуття з неміцних матеріалів (паперу, пластмасової плівки тощо, без підошов);</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6" w:name="n56"/>
      <w:bookmarkEnd w:id="56"/>
      <w:r w:rsidRPr="00AA3F0E">
        <w:rPr>
          <w:rFonts w:ascii="Times New Roman" w:eastAsia="Times New Roman" w:hAnsi="Times New Roman" w:cs="Times New Roman"/>
          <w:color w:val="333333"/>
          <w:sz w:val="19"/>
          <w:szCs w:val="19"/>
          <w:lang w:eastAsia="ru-RU"/>
        </w:rPr>
        <w:t>калоші, що надягаються на інше взуття, які в деяких випадках не мають п’яти;</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7" w:name="n57"/>
      <w:bookmarkEnd w:id="57"/>
      <w:r w:rsidRPr="00AA3F0E">
        <w:rPr>
          <w:rFonts w:ascii="Times New Roman" w:eastAsia="Times New Roman" w:hAnsi="Times New Roman" w:cs="Times New Roman"/>
          <w:color w:val="333333"/>
          <w:sz w:val="19"/>
          <w:szCs w:val="19"/>
          <w:lang w:eastAsia="ru-RU"/>
        </w:rPr>
        <w:t>одноразове взуття з прикріпленими підошвами;</w:t>
      </w:r>
    </w:p>
    <w:p w:rsidR="00AA3F0E" w:rsidRPr="00AA3F0E" w:rsidRDefault="00AA3F0E" w:rsidP="00AA3F0E">
      <w:pPr>
        <w:shd w:val="clear" w:color="auto" w:fill="FFFFFF"/>
        <w:spacing w:after="116" w:line="240" w:lineRule="auto"/>
        <w:ind w:firstLine="348"/>
        <w:jc w:val="both"/>
        <w:rPr>
          <w:rFonts w:ascii="Times New Roman" w:eastAsia="Times New Roman" w:hAnsi="Times New Roman" w:cs="Times New Roman"/>
          <w:color w:val="333333"/>
          <w:sz w:val="19"/>
          <w:szCs w:val="19"/>
          <w:lang w:eastAsia="ru-RU"/>
        </w:rPr>
      </w:pPr>
      <w:bookmarkStart w:id="58" w:name="n58"/>
      <w:bookmarkEnd w:id="58"/>
      <w:r w:rsidRPr="00AA3F0E">
        <w:rPr>
          <w:rFonts w:ascii="Times New Roman" w:eastAsia="Times New Roman" w:hAnsi="Times New Roman" w:cs="Times New Roman"/>
          <w:color w:val="333333"/>
          <w:sz w:val="19"/>
          <w:szCs w:val="19"/>
          <w:lang w:eastAsia="ru-RU"/>
        </w:rPr>
        <w:t>ортопедичне взуття.</w:t>
      </w:r>
    </w:p>
    <w:p w:rsidR="00777CAB" w:rsidRDefault="00777CAB"/>
    <w:sectPr w:rsidR="00777CAB" w:rsidSect="00777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AA3F0E"/>
    <w:rsid w:val="00777CAB"/>
    <w:rsid w:val="00AA3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A3F0E"/>
  </w:style>
  <w:style w:type="character" w:customStyle="1" w:styleId="rvts23">
    <w:name w:val="rvts23"/>
    <w:basedOn w:val="a0"/>
    <w:rsid w:val="00AA3F0E"/>
  </w:style>
  <w:style w:type="paragraph" w:customStyle="1" w:styleId="rvps7">
    <w:name w:val="rvps7"/>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A3F0E"/>
  </w:style>
  <w:style w:type="paragraph" w:customStyle="1" w:styleId="rvps14">
    <w:name w:val="rvps14"/>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3F0E"/>
    <w:rPr>
      <w:color w:val="0000FF"/>
      <w:u w:val="single"/>
    </w:rPr>
  </w:style>
  <w:style w:type="character" w:customStyle="1" w:styleId="rvts52">
    <w:name w:val="rvts52"/>
    <w:basedOn w:val="a0"/>
    <w:rsid w:val="00AA3F0E"/>
  </w:style>
  <w:style w:type="character" w:customStyle="1" w:styleId="rvts44">
    <w:name w:val="rvts44"/>
    <w:basedOn w:val="a0"/>
    <w:rsid w:val="00AA3F0E"/>
  </w:style>
  <w:style w:type="paragraph" w:customStyle="1" w:styleId="rvps15">
    <w:name w:val="rvps15"/>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AA3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3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77676">
      <w:bodyDiv w:val="1"/>
      <w:marLeft w:val="0"/>
      <w:marRight w:val="0"/>
      <w:marTop w:val="0"/>
      <w:marBottom w:val="0"/>
      <w:divBdr>
        <w:top w:val="none" w:sz="0" w:space="0" w:color="auto"/>
        <w:left w:val="none" w:sz="0" w:space="0" w:color="auto"/>
        <w:bottom w:val="none" w:sz="0" w:space="0" w:color="auto"/>
        <w:right w:val="none" w:sz="0" w:space="0" w:color="auto"/>
      </w:divBdr>
      <w:divsChild>
        <w:div w:id="255133524">
          <w:marLeft w:val="0"/>
          <w:marRight w:val="0"/>
          <w:marTop w:val="116"/>
          <w:marBottom w:val="116"/>
          <w:divBdr>
            <w:top w:val="none" w:sz="0" w:space="0" w:color="auto"/>
            <w:left w:val="none" w:sz="0" w:space="0" w:color="auto"/>
            <w:bottom w:val="none" w:sz="0" w:space="0" w:color="auto"/>
            <w:right w:val="none" w:sz="0" w:space="0" w:color="auto"/>
          </w:divBdr>
        </w:div>
        <w:div w:id="1860316618">
          <w:marLeft w:val="0"/>
          <w:marRight w:val="0"/>
          <w:marTop w:val="0"/>
          <w:marBottom w:val="116"/>
          <w:divBdr>
            <w:top w:val="none" w:sz="0" w:space="0" w:color="auto"/>
            <w:left w:val="none" w:sz="0" w:space="0" w:color="auto"/>
            <w:bottom w:val="none" w:sz="0" w:space="0" w:color="auto"/>
            <w:right w:val="none" w:sz="0" w:space="0" w:color="auto"/>
          </w:divBdr>
        </w:div>
        <w:div w:id="2144342862">
          <w:marLeft w:val="0"/>
          <w:marRight w:val="0"/>
          <w:marTop w:val="0"/>
          <w:marBottom w:val="116"/>
          <w:divBdr>
            <w:top w:val="none" w:sz="0" w:space="0" w:color="auto"/>
            <w:left w:val="none" w:sz="0" w:space="0" w:color="auto"/>
            <w:bottom w:val="none" w:sz="0" w:space="0" w:color="auto"/>
            <w:right w:val="none" w:sz="0" w:space="0" w:color="auto"/>
          </w:divBdr>
        </w:div>
        <w:div w:id="1405639135">
          <w:marLeft w:val="0"/>
          <w:marRight w:val="0"/>
          <w:marTop w:val="0"/>
          <w:marBottom w:val="116"/>
          <w:divBdr>
            <w:top w:val="none" w:sz="0" w:space="0" w:color="auto"/>
            <w:left w:val="none" w:sz="0" w:space="0" w:color="auto"/>
            <w:bottom w:val="none" w:sz="0" w:space="0" w:color="auto"/>
            <w:right w:val="none" w:sz="0" w:space="0" w:color="auto"/>
          </w:divBdr>
        </w:div>
        <w:div w:id="1803424313">
          <w:marLeft w:val="0"/>
          <w:marRight w:val="0"/>
          <w:marTop w:val="0"/>
          <w:marBottom w:val="116"/>
          <w:divBdr>
            <w:top w:val="none" w:sz="0" w:space="0" w:color="auto"/>
            <w:left w:val="none" w:sz="0" w:space="0" w:color="auto"/>
            <w:bottom w:val="none" w:sz="0" w:space="0" w:color="auto"/>
            <w:right w:val="none" w:sz="0" w:space="0" w:color="auto"/>
          </w:divBdr>
        </w:div>
        <w:div w:id="359478922">
          <w:marLeft w:val="0"/>
          <w:marRight w:val="0"/>
          <w:marTop w:val="0"/>
          <w:marBottom w:val="116"/>
          <w:divBdr>
            <w:top w:val="none" w:sz="0" w:space="0" w:color="auto"/>
            <w:left w:val="none" w:sz="0" w:space="0" w:color="auto"/>
            <w:bottom w:val="none" w:sz="0" w:space="0" w:color="auto"/>
            <w:right w:val="none" w:sz="0" w:space="0" w:color="auto"/>
          </w:divBdr>
        </w:div>
        <w:div w:id="1980457708">
          <w:marLeft w:val="0"/>
          <w:marRight w:val="0"/>
          <w:marTop w:val="0"/>
          <w:marBottom w:val="11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32-2011-%D0%BF" TargetMode="External"/><Relationship Id="rId13" Type="http://schemas.openxmlformats.org/officeDocument/2006/relationships/hyperlink" Target="https://zakon.rada.gov.ua/laws/show/z0336-19" TargetMode="External"/><Relationship Id="rId18" Type="http://schemas.openxmlformats.org/officeDocument/2006/relationships/image" Target="media/image3.jpeg"/><Relationship Id="rId26" Type="http://schemas.openxmlformats.org/officeDocument/2006/relationships/hyperlink" Target="https://zakon.rada.gov.ua/laws/show/13-2009-%D0%BF" TargetMode="External"/><Relationship Id="rId3" Type="http://schemas.openxmlformats.org/officeDocument/2006/relationships/webSettings" Target="webSettings.xml"/><Relationship Id="rId21" Type="http://schemas.openxmlformats.org/officeDocument/2006/relationships/hyperlink" Target="https://zakon.rada.gov.ua/laws/show/995_129" TargetMode="External"/><Relationship Id="rId7" Type="http://schemas.openxmlformats.org/officeDocument/2006/relationships/hyperlink" Target="https://zakon.rada.gov.ua/laws/show/z0336-19" TargetMode="External"/><Relationship Id="rId12" Type="http://schemas.openxmlformats.org/officeDocument/2006/relationships/hyperlink" Target="https://zakon.rada.gov.ua/laws/show/2735-17" TargetMode="External"/><Relationship Id="rId17" Type="http://schemas.openxmlformats.org/officeDocument/2006/relationships/image" Target="media/image2.jpeg"/><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zakon.rada.gov.ua/laws/show/z0336-19" TargetMode="External"/><Relationship Id="rId20" Type="http://schemas.openxmlformats.org/officeDocument/2006/relationships/hyperlink" Target="https://zakon.rada.gov.ua/laws/show/z0336-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057-2015-%D0%BF" TargetMode="External"/><Relationship Id="rId11" Type="http://schemas.openxmlformats.org/officeDocument/2006/relationships/hyperlink" Target="https://zakon.rada.gov.ua/laws/show/1023-12" TargetMode="External"/><Relationship Id="rId24" Type="http://schemas.openxmlformats.org/officeDocument/2006/relationships/image" Target="media/image5.jpeg"/><Relationship Id="rId5" Type="http://schemas.openxmlformats.org/officeDocument/2006/relationships/hyperlink" Target="https://zakon.rada.gov.ua/laws/show/124-19" TargetMode="External"/><Relationship Id="rId15" Type="http://schemas.openxmlformats.org/officeDocument/2006/relationships/hyperlink" Target="https://zakon.rada.gov.ua/laws/show/2735-17" TargetMode="External"/><Relationship Id="rId23" Type="http://schemas.openxmlformats.org/officeDocument/2006/relationships/hyperlink" Target="https://zakon.rada.gov.ua/laws/show/z0336-19" TargetMode="External"/><Relationship Id="rId28" Type="http://schemas.openxmlformats.org/officeDocument/2006/relationships/image" Target="media/image8.jpeg"/><Relationship Id="rId10" Type="http://schemas.openxmlformats.org/officeDocument/2006/relationships/hyperlink" Target="https://zakon.rada.gov.ua/laws/show/124-19" TargetMode="External"/><Relationship Id="rId19" Type="http://schemas.openxmlformats.org/officeDocument/2006/relationships/image" Target="media/image4.jpeg"/><Relationship Id="rId4" Type="http://schemas.openxmlformats.org/officeDocument/2006/relationships/image" Target="media/image1.gif"/><Relationship Id="rId9" Type="http://schemas.openxmlformats.org/officeDocument/2006/relationships/hyperlink" Target="https://zakon.rada.gov.ua/laws/show/z0336-19" TargetMode="External"/><Relationship Id="rId14" Type="http://schemas.openxmlformats.org/officeDocument/2006/relationships/hyperlink" Target="https://zakon.rada.gov.ua/laws/show/z0336-19" TargetMode="External"/><Relationship Id="rId22" Type="http://schemas.openxmlformats.org/officeDocument/2006/relationships/hyperlink" Target="https://zakon.rada.gov.ua/laws/show/662-14"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11208</Characters>
  <Application>Microsoft Office Word</Application>
  <DocSecurity>0</DocSecurity>
  <Lines>93</Lines>
  <Paragraphs>26</Paragraphs>
  <ScaleCrop>false</ScaleCrop>
  <Company>Grizli777</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2021-01-04T11:01:00Z</dcterms:created>
  <dcterms:modified xsi:type="dcterms:W3CDTF">2021-01-04T11:02:00Z</dcterms:modified>
</cp:coreProperties>
</file>