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8"/>
        <w:gridCol w:w="6553"/>
      </w:tblGrid>
      <w:tr w:rsidR="00D3621C" w:rsidRPr="00D3621C" w:rsidTr="00D3621C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621C" w:rsidRPr="00D3621C" w:rsidRDefault="00D3621C" w:rsidP="00D3621C">
            <w:pPr>
              <w:spacing w:before="720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621C" w:rsidRPr="00D3621C" w:rsidRDefault="00D3621C" w:rsidP="00D3621C">
            <w:pPr>
              <w:spacing w:before="7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21C" w:rsidRPr="00D3621C" w:rsidTr="00D3621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621C" w:rsidRPr="00D3621C" w:rsidRDefault="00D3621C" w:rsidP="00D3621C">
            <w:pPr>
              <w:spacing w:before="720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621C" w:rsidRPr="00D3621C" w:rsidRDefault="00D3621C" w:rsidP="00D3621C">
            <w:pPr>
              <w:spacing w:before="7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621C" w:rsidRPr="00D3621C" w:rsidRDefault="00D3621C" w:rsidP="00D3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n53"/>
      <w:bookmarkEnd w:id="0"/>
      <w:r w:rsidRPr="00D3621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4"/>
        <w:gridCol w:w="5617"/>
      </w:tblGrid>
      <w:tr w:rsidR="00D3621C" w:rsidRPr="00D3621C" w:rsidTr="00D3621C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621C" w:rsidRPr="00D3621C" w:rsidRDefault="00D3621C" w:rsidP="00D3621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n8"/>
            <w:bookmarkEnd w:id="1"/>
            <w:r w:rsidRPr="00D362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621C" w:rsidRPr="00D3621C" w:rsidRDefault="00D3621C" w:rsidP="00D3621C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ЗАТВЕРДЖЕНО</w:t>
            </w:r>
            <w:r w:rsidRPr="00D3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362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постановою</w:t>
            </w:r>
            <w:proofErr w:type="spellEnd"/>
            <w:r w:rsidRPr="00D362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62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Кабінету</w:t>
            </w:r>
            <w:proofErr w:type="spellEnd"/>
            <w:r w:rsidRPr="00D362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62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Міні</w:t>
            </w:r>
            <w:proofErr w:type="gramStart"/>
            <w:r w:rsidRPr="00D362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</w:t>
            </w:r>
            <w:proofErr w:type="gramEnd"/>
            <w:r w:rsidRPr="00D362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ів</w:t>
            </w:r>
            <w:proofErr w:type="spellEnd"/>
            <w:r w:rsidRPr="00D362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62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України</w:t>
            </w:r>
            <w:proofErr w:type="spellEnd"/>
            <w:r w:rsidRPr="00D3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362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</w:t>
            </w:r>
            <w:proofErr w:type="spellEnd"/>
            <w:r w:rsidRPr="00D362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7 лютого 2018 р. № 85</w:t>
            </w:r>
          </w:p>
        </w:tc>
      </w:tr>
    </w:tbl>
    <w:p w:rsidR="00D3621C" w:rsidRPr="00D3621C" w:rsidRDefault="00D3621C" w:rsidP="00D3621C">
      <w:pPr>
        <w:shd w:val="clear" w:color="auto" w:fill="FFFFFF"/>
        <w:spacing w:before="720" w:after="1080" w:line="240" w:lineRule="auto"/>
        <w:ind w:left="1080" w:right="108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n9"/>
      <w:bookmarkEnd w:id="2"/>
      <w:r w:rsidRPr="00D36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</w:t>
      </w:r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D36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надання</w:t>
      </w:r>
      <w:proofErr w:type="spellEnd"/>
      <w:r w:rsidRPr="00D36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розстрочення</w:t>
      </w:r>
      <w:proofErr w:type="spellEnd"/>
      <w:r w:rsidRPr="00D36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сплати</w:t>
      </w:r>
      <w:proofErr w:type="spellEnd"/>
      <w:r w:rsidRPr="00D36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податку</w:t>
      </w:r>
      <w:proofErr w:type="spellEnd"/>
      <w:r w:rsidRPr="00D36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</w:t>
      </w:r>
      <w:proofErr w:type="spellStart"/>
      <w:r w:rsidRPr="00D36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додану</w:t>
      </w:r>
      <w:proofErr w:type="spellEnd"/>
      <w:r w:rsidRPr="00D36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вартість</w:t>
      </w:r>
      <w:proofErr w:type="spellEnd"/>
      <w:r w:rsidRPr="00D36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та </w:t>
      </w:r>
      <w:proofErr w:type="spellStart"/>
      <w:r w:rsidRPr="00D36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застосування</w:t>
      </w:r>
      <w:proofErr w:type="spellEnd"/>
      <w:r w:rsidRPr="00D36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забезпечення</w:t>
      </w:r>
      <w:proofErr w:type="spellEnd"/>
      <w:r w:rsidRPr="00D36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виконання</w:t>
      </w:r>
      <w:proofErr w:type="spellEnd"/>
      <w:r w:rsidRPr="00D36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зобов’язань</w:t>
      </w:r>
      <w:proofErr w:type="spellEnd"/>
      <w:r w:rsidRPr="00D36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D36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proofErr w:type="gramEnd"/>
      <w:r w:rsidRPr="00D36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ід</w:t>
      </w:r>
      <w:proofErr w:type="spellEnd"/>
      <w:r w:rsidRPr="00D36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D36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ввезення</w:t>
      </w:r>
      <w:proofErr w:type="spellEnd"/>
      <w:r w:rsidRPr="00D36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</w:t>
      </w:r>
      <w:proofErr w:type="spellStart"/>
      <w:r w:rsidRPr="00D36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митну</w:t>
      </w:r>
      <w:proofErr w:type="spellEnd"/>
      <w:r w:rsidRPr="00D36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територію</w:t>
      </w:r>
      <w:proofErr w:type="spellEnd"/>
      <w:r w:rsidRPr="00D36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України</w:t>
      </w:r>
      <w:proofErr w:type="spellEnd"/>
      <w:r w:rsidRPr="00D36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обладнання</w:t>
      </w:r>
      <w:proofErr w:type="spellEnd"/>
      <w:r w:rsidRPr="00D36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D36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власного</w:t>
      </w:r>
      <w:proofErr w:type="spellEnd"/>
      <w:r w:rsidRPr="00D36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виробництва</w:t>
      </w:r>
      <w:proofErr w:type="spellEnd"/>
      <w:r w:rsidRPr="00D36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</w:t>
      </w:r>
      <w:proofErr w:type="spellStart"/>
      <w:r w:rsidRPr="00D36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території</w:t>
      </w:r>
      <w:proofErr w:type="spellEnd"/>
      <w:r w:rsidRPr="00D36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України</w:t>
      </w:r>
      <w:proofErr w:type="spellEnd"/>
    </w:p>
    <w:p w:rsidR="00D3621C" w:rsidRPr="00D3621C" w:rsidRDefault="00D3621C" w:rsidP="00D3621C">
      <w:pPr>
        <w:shd w:val="clear" w:color="auto" w:fill="FFFFFF"/>
        <w:spacing w:after="360" w:line="240" w:lineRule="auto"/>
        <w:ind w:firstLine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n69"/>
      <w:bookmarkStart w:id="4" w:name="n10"/>
      <w:bookmarkEnd w:id="3"/>
      <w:bookmarkEnd w:id="4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Цей Порядок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визначає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процедуру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розстрочення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сплати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додану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вартість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податок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та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застосування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зобов’язань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ввезення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митну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територію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поміщенням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митний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режим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імпорту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обладнання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класифікується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товарними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підкатегоріями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4" w:anchor="n3" w:tgtFrame="_blank" w:history="1">
        <w:r w:rsidRPr="00D3621C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ru-RU"/>
          </w:rPr>
          <w:t>УКТЗЕД</w:t>
        </w:r>
      </w:hyperlink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визначеними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5" w:anchor="n14931" w:tgtFrame="_blank" w:history="1">
        <w:r w:rsidRPr="00D3621C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ru-RU"/>
          </w:rPr>
          <w:t>пунктом 65</w:t>
        </w:r>
      </w:hyperlink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підрозділу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розділу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XX “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Перехідні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Податкового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кодексу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 ввозиться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платником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власного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виробництва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території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621C" w:rsidRPr="00D3621C" w:rsidRDefault="00D3621C" w:rsidP="00D3621C">
      <w:pPr>
        <w:shd w:val="clear" w:color="auto" w:fill="FFFFFF"/>
        <w:spacing w:after="360" w:line="240" w:lineRule="auto"/>
        <w:ind w:firstLine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n11"/>
      <w:bookmarkEnd w:id="5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У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цьому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Порядку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терміни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вживаються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значенні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наведеному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 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"https://zakon.rada.gov.ua/laws/show/4495-17" \t "_blank" </w:instrText>
      </w:r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D3621C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ru-RU"/>
        </w:rPr>
        <w:t>Митному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та 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"https://zakon.rada.gov.ua/laws/show/2755-17" \t "_blank" </w:instrText>
      </w:r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D3621C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ru-RU"/>
        </w:rPr>
        <w:t>Податковому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кодексах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621C" w:rsidRPr="00D3621C" w:rsidRDefault="00D3621C" w:rsidP="00D3621C">
      <w:pPr>
        <w:shd w:val="clear" w:color="auto" w:fill="FFFFFF"/>
        <w:spacing w:after="360" w:line="240" w:lineRule="auto"/>
        <w:ind w:firstLine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n12"/>
      <w:bookmarkEnd w:id="6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Для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розстрочення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сплати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платник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подає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митниці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зоні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діяльності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якої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наявні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виробничі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потужності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формою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"https://zakon.rada.gov.ua/laws/show/85-2018-%D0%BF" \l "n44" </w:instrText>
      </w:r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D3621C">
        <w:rPr>
          <w:rFonts w:ascii="Times New Roman" w:eastAsia="Times New Roman" w:hAnsi="Times New Roman" w:cs="Times New Roman"/>
          <w:color w:val="006600"/>
          <w:sz w:val="28"/>
          <w:szCs w:val="28"/>
          <w:u w:val="single"/>
          <w:lang w:eastAsia="ru-RU"/>
        </w:rPr>
        <w:t>додатком</w:t>
      </w:r>
      <w:proofErr w:type="spellEnd"/>
      <w:r w:rsidRPr="00D3621C">
        <w:rPr>
          <w:rFonts w:ascii="Times New Roman" w:eastAsia="Times New Roman" w:hAnsi="Times New Roman" w:cs="Times New Roman"/>
          <w:color w:val="006600"/>
          <w:sz w:val="28"/>
          <w:szCs w:val="28"/>
          <w:u w:val="single"/>
          <w:lang w:eastAsia="ru-RU"/>
        </w:rPr>
        <w:t xml:space="preserve"> 1</w:t>
      </w:r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621C" w:rsidRPr="00D3621C" w:rsidRDefault="00D3621C" w:rsidP="00D3621C">
      <w:pPr>
        <w:shd w:val="clear" w:color="auto" w:fill="FFFFFF"/>
        <w:spacing w:after="360" w:line="240" w:lineRule="auto"/>
        <w:ind w:firstLine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n62"/>
      <w:bookmarkStart w:id="8" w:name="n13"/>
      <w:bookmarkEnd w:id="7"/>
      <w:bookmarkEnd w:id="8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заяви про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розстрочення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додану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вартість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ввезення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митну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територію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обладнання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власного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виробництва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території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заява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крім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документів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передбачених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"https://zakon.rada.gov.ua/laws/show/4495-17" \l "n2730" \t "_blank" </w:instrText>
      </w:r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D3621C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ru-RU"/>
        </w:rPr>
        <w:t>статтею</w:t>
      </w:r>
      <w:proofErr w:type="spellEnd"/>
      <w:r w:rsidRPr="00D3621C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ru-RU"/>
        </w:rPr>
        <w:t xml:space="preserve"> 335</w:t>
      </w:r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Митного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кодексу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додаються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3621C" w:rsidRPr="00D3621C" w:rsidRDefault="00D3621C" w:rsidP="00D3621C">
      <w:pPr>
        <w:shd w:val="clear" w:color="auto" w:fill="FFFFFF"/>
        <w:spacing w:after="360" w:line="240" w:lineRule="auto"/>
        <w:ind w:firstLine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" w:name="n14"/>
      <w:bookmarkEnd w:id="9"/>
      <w:proofErr w:type="spellStart"/>
      <w:proofErr w:type="gram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ізнес-проект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бізнес-план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інший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документ, у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якому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зазначено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технологічний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економічними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розрахунками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очікувані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діяльності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3621C" w:rsidRPr="00D3621C" w:rsidRDefault="00D3621C" w:rsidP="00D3621C">
      <w:pPr>
        <w:shd w:val="clear" w:color="auto" w:fill="FFFFFF"/>
        <w:spacing w:after="360" w:line="240" w:lineRule="auto"/>
        <w:ind w:firstLine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" w:name="n15"/>
      <w:bookmarkEnd w:id="10"/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наявні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висновки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державних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органів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експертних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організацій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стандарти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стандарти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ідприємства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технічні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умови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технічна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документація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підтверджують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наявність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виробничих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потужностей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приміщень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621C" w:rsidRPr="00D3621C" w:rsidRDefault="00D3621C" w:rsidP="00D3621C">
      <w:pPr>
        <w:shd w:val="clear" w:color="auto" w:fill="FFFFFF"/>
        <w:spacing w:after="360" w:line="240" w:lineRule="auto"/>
        <w:ind w:firstLine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" w:name="n16"/>
      <w:bookmarkEnd w:id="11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proofErr w:type="gram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розстрочення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сплати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додану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вартість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ввезення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митну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територію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обладнання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власного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виробництва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території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рішення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приймається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митницею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рекомендацією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комісії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утворюється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рішенням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керівника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такої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митниці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до складу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якої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включаються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3621C" w:rsidRPr="00D3621C" w:rsidRDefault="00D3621C" w:rsidP="00D3621C">
      <w:pPr>
        <w:shd w:val="clear" w:color="auto" w:fill="FFFFFF"/>
        <w:spacing w:after="360" w:line="240" w:lineRule="auto"/>
        <w:ind w:firstLine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" w:name="n17"/>
      <w:bookmarkEnd w:id="12"/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керівник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ідрозділу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митниці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здійснює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митне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товарів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особа, яка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заміщує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3621C" w:rsidRPr="00D3621C" w:rsidRDefault="00D3621C" w:rsidP="00D3621C">
      <w:pPr>
        <w:shd w:val="clear" w:color="auto" w:fill="FFFFFF"/>
        <w:spacing w:after="360" w:line="240" w:lineRule="auto"/>
        <w:ind w:firstLine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" w:name="n18"/>
      <w:bookmarkEnd w:id="13"/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керівник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ідрозділу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митниці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здійснює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адміністрування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митних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платежів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особа, яка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заміщує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3621C" w:rsidRPr="00D3621C" w:rsidRDefault="00D3621C" w:rsidP="00D3621C">
      <w:pPr>
        <w:shd w:val="clear" w:color="auto" w:fill="FFFFFF"/>
        <w:spacing w:after="360" w:line="240" w:lineRule="auto"/>
        <w:ind w:firstLine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4" w:name="n19"/>
      <w:bookmarkEnd w:id="14"/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керівник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ідрозділу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митниці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здійснює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заходи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протидії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митним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правопорушенням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особа, яка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заміщує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3621C" w:rsidRPr="00D3621C" w:rsidRDefault="00D3621C" w:rsidP="00D3621C">
      <w:pPr>
        <w:shd w:val="clear" w:color="auto" w:fill="FFFFFF"/>
        <w:spacing w:after="360" w:line="240" w:lineRule="auto"/>
        <w:ind w:firstLine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5" w:name="n20"/>
      <w:bookmarkEnd w:id="15"/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керівник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ідрозділу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питань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правової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митниці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особа, яка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заміщує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3621C" w:rsidRPr="00D3621C" w:rsidRDefault="00D3621C" w:rsidP="00D3621C">
      <w:pPr>
        <w:shd w:val="clear" w:color="auto" w:fill="FFFFFF"/>
        <w:spacing w:after="360" w:line="240" w:lineRule="auto"/>
        <w:ind w:firstLine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6" w:name="n63"/>
      <w:bookmarkStart w:id="17" w:name="n21"/>
      <w:bookmarkEnd w:id="16"/>
      <w:bookmarkEnd w:id="17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керівник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ідрозділу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митниці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виконує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функції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питань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митного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аудиту,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особа, яка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заміщує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621C" w:rsidRPr="00D3621C" w:rsidRDefault="00D3621C" w:rsidP="00D3621C">
      <w:pPr>
        <w:shd w:val="clear" w:color="auto" w:fill="FFFFFF"/>
        <w:spacing w:after="360" w:line="240" w:lineRule="auto"/>
        <w:ind w:firstLine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8" w:name="n64"/>
      <w:bookmarkStart w:id="19" w:name="n22"/>
      <w:bookmarkEnd w:id="18"/>
      <w:bookmarkEnd w:id="19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spellStart"/>
      <w:proofErr w:type="gram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приймається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протягом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десяти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робочих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днів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надходження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заяви.</w:t>
      </w:r>
    </w:p>
    <w:p w:rsidR="00D3621C" w:rsidRPr="00D3621C" w:rsidRDefault="00D3621C" w:rsidP="00D3621C">
      <w:pPr>
        <w:shd w:val="clear" w:color="auto" w:fill="FFFFFF"/>
        <w:spacing w:after="360" w:line="240" w:lineRule="auto"/>
        <w:ind w:firstLine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0" w:name="n23"/>
      <w:bookmarkEnd w:id="20"/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дату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надходження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заяви до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митниці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сума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заявлена до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розстрочення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становить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понад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млн.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гривень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приймається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погодженням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Головою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Держмитслужби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заступником)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протягом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25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робочих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днів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надходження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заяви.</w:t>
      </w:r>
    </w:p>
    <w:p w:rsidR="00D3621C" w:rsidRPr="00D3621C" w:rsidRDefault="00D3621C" w:rsidP="00D3621C">
      <w:pPr>
        <w:shd w:val="clear" w:color="auto" w:fill="FFFFFF"/>
        <w:spacing w:after="360" w:line="240" w:lineRule="auto"/>
        <w:ind w:firstLine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1" w:name="n61"/>
      <w:bookmarkStart w:id="22" w:name="n24"/>
      <w:bookmarkEnd w:id="21"/>
      <w:bookmarkEnd w:id="22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proofErr w:type="spellStart"/>
      <w:proofErr w:type="gram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оформлюється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"https://zakon.rada.gov.ua/laws/show/85-2018-%D0%BF" \l "n46" </w:instrText>
      </w:r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D3621C">
        <w:rPr>
          <w:rFonts w:ascii="Times New Roman" w:eastAsia="Times New Roman" w:hAnsi="Times New Roman" w:cs="Times New Roman"/>
          <w:color w:val="006600"/>
          <w:sz w:val="28"/>
          <w:szCs w:val="28"/>
          <w:u w:val="single"/>
          <w:lang w:eastAsia="ru-RU"/>
        </w:rPr>
        <w:t>додатком</w:t>
      </w:r>
      <w:proofErr w:type="spellEnd"/>
      <w:r w:rsidRPr="00D3621C">
        <w:rPr>
          <w:rFonts w:ascii="Times New Roman" w:eastAsia="Times New Roman" w:hAnsi="Times New Roman" w:cs="Times New Roman"/>
          <w:color w:val="006600"/>
          <w:sz w:val="28"/>
          <w:szCs w:val="28"/>
          <w:u w:val="single"/>
          <w:lang w:eastAsia="ru-RU"/>
        </w:rPr>
        <w:t xml:space="preserve"> 2</w:t>
      </w:r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двох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примірниках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один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надається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платнику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безоплатно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621C" w:rsidRPr="00D3621C" w:rsidRDefault="00D3621C" w:rsidP="00D3621C">
      <w:pPr>
        <w:shd w:val="clear" w:color="auto" w:fill="FFFFFF"/>
        <w:spacing w:after="360" w:line="240" w:lineRule="auto"/>
        <w:ind w:firstLine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3" w:name="n65"/>
      <w:bookmarkStart w:id="24" w:name="n25"/>
      <w:bookmarkEnd w:id="23"/>
      <w:bookmarkEnd w:id="24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proofErr w:type="spellStart"/>
      <w:proofErr w:type="gram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приймається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результатами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розгляду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комісією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зазначеною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 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"https://zakon.rada.gov.ua/laws/show/85-2018-%D0%BF" \l "n16" </w:instrText>
      </w:r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D3621C">
        <w:rPr>
          <w:rFonts w:ascii="Times New Roman" w:eastAsia="Times New Roman" w:hAnsi="Times New Roman" w:cs="Times New Roman"/>
          <w:color w:val="006600"/>
          <w:sz w:val="28"/>
          <w:szCs w:val="28"/>
          <w:u w:val="single"/>
          <w:lang w:eastAsia="ru-RU"/>
        </w:rPr>
        <w:t>пункті</w:t>
      </w:r>
      <w:proofErr w:type="spellEnd"/>
      <w:r w:rsidRPr="00D3621C">
        <w:rPr>
          <w:rFonts w:ascii="Times New Roman" w:eastAsia="Times New Roman" w:hAnsi="Times New Roman" w:cs="Times New Roman"/>
          <w:color w:val="006600"/>
          <w:sz w:val="28"/>
          <w:szCs w:val="28"/>
          <w:u w:val="single"/>
          <w:lang w:eastAsia="ru-RU"/>
        </w:rPr>
        <w:t xml:space="preserve"> 4</w:t>
      </w:r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Порядку, заяви та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перевірки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3621C" w:rsidRPr="00D3621C" w:rsidRDefault="00D3621C" w:rsidP="00D3621C">
      <w:pPr>
        <w:shd w:val="clear" w:color="auto" w:fill="FFFFFF"/>
        <w:spacing w:after="360" w:line="240" w:lineRule="auto"/>
        <w:ind w:firstLine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5" w:name="n26"/>
      <w:bookmarkEnd w:id="25"/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відповідності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обладнання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зазначеного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визначеній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платником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товарній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ідкатегорії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6" w:anchor="n3" w:tgtFrame="_blank" w:history="1">
        <w:r w:rsidRPr="00D3621C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ru-RU"/>
          </w:rPr>
          <w:t>УКТЗЕД</w:t>
        </w:r>
      </w:hyperlink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та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передбачення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такої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товарної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підкатегорії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7" w:anchor="n14931" w:tgtFrame="_blank" w:history="1">
        <w:r w:rsidRPr="00D3621C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ru-RU"/>
          </w:rPr>
          <w:t>пунктом 65</w:t>
        </w:r>
      </w:hyperlink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підрозділу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розділу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XX “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Перехідні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Податкового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кодексу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3621C" w:rsidRPr="00D3621C" w:rsidRDefault="00D3621C" w:rsidP="00D3621C">
      <w:pPr>
        <w:shd w:val="clear" w:color="auto" w:fill="FFFFFF"/>
        <w:spacing w:after="360" w:line="240" w:lineRule="auto"/>
        <w:ind w:firstLine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6" w:name="n27"/>
      <w:bookmarkEnd w:id="26"/>
      <w:proofErr w:type="spellStart"/>
      <w:proofErr w:type="gram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ідтвердження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зазначеної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вартості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обладнання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3621C" w:rsidRPr="00D3621C" w:rsidRDefault="00D3621C" w:rsidP="00D3621C">
      <w:pPr>
        <w:shd w:val="clear" w:color="auto" w:fill="FFFFFF"/>
        <w:spacing w:after="360" w:line="240" w:lineRule="auto"/>
        <w:ind w:firstLine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7" w:name="n28"/>
      <w:bookmarkEnd w:id="27"/>
      <w:proofErr w:type="spellStart"/>
      <w:proofErr w:type="gram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ідтвердження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того,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обладнання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походить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країни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визнаної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державою-окупантом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законом та/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визнаної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державою-агресором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стосовно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законодавством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ввозиться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території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такої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держави-окупанта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держави-агресора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та/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окупованої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території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визначеної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такою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законом;</w:t>
      </w:r>
    </w:p>
    <w:p w:rsidR="00D3621C" w:rsidRPr="00D3621C" w:rsidRDefault="00D3621C" w:rsidP="00D3621C">
      <w:pPr>
        <w:shd w:val="clear" w:color="auto" w:fill="FFFFFF"/>
        <w:spacing w:after="360" w:line="240" w:lineRule="auto"/>
        <w:ind w:firstLine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8" w:name="n29"/>
      <w:bookmarkEnd w:id="28"/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відповідність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коду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"https://zakon.rada.gov.ua/laws/show/vb457609-10" \t "_blank" </w:instrText>
      </w:r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D3621C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ru-RU"/>
        </w:rPr>
        <w:t>Класифікацією</w:t>
      </w:r>
      <w:proofErr w:type="spellEnd"/>
      <w:r w:rsidRPr="00D3621C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ru-RU"/>
        </w:rPr>
        <w:t>видів</w:t>
      </w:r>
      <w:proofErr w:type="spellEnd"/>
      <w:r w:rsidRPr="00D3621C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ru-RU"/>
        </w:rPr>
        <w:t>економічної</w:t>
      </w:r>
      <w:proofErr w:type="spellEnd"/>
      <w:r w:rsidRPr="00D3621C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lang w:eastAsia="ru-RU"/>
        </w:rPr>
        <w:t>діяльності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(КВЕД),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зазначеного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відповідному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коду,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зазначеному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Єдиному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державному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реє</w:t>
      </w:r>
      <w:proofErr w:type="gram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</w:t>
      </w:r>
      <w:proofErr w:type="gram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юридичних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осіб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фізичних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осіб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підприємців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громадських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формувань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3621C" w:rsidRPr="00D3621C" w:rsidRDefault="00D3621C" w:rsidP="00D3621C">
      <w:pPr>
        <w:shd w:val="clear" w:color="auto" w:fill="FFFFFF"/>
        <w:spacing w:after="360" w:line="240" w:lineRule="auto"/>
        <w:ind w:firstLine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9" w:name="n30"/>
      <w:bookmarkEnd w:id="29"/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відсутності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платника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заборгованості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сплати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платежів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контроль за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справлянням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покладено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контролюючі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3621C" w:rsidRPr="00D3621C" w:rsidRDefault="00D3621C" w:rsidP="00D3621C">
      <w:pPr>
        <w:shd w:val="clear" w:color="auto" w:fill="FFFFFF"/>
        <w:spacing w:after="360" w:line="240" w:lineRule="auto"/>
        <w:ind w:firstLine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0" w:name="n66"/>
      <w:bookmarkStart w:id="31" w:name="n31"/>
      <w:bookmarkEnd w:id="30"/>
      <w:bookmarkEnd w:id="31"/>
      <w:proofErr w:type="spellStart"/>
      <w:proofErr w:type="gram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ідтвердження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наявності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виробничих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потужностей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приміщень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умов для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обліку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зберігання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товарів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готової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продукції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621C" w:rsidRPr="00D3621C" w:rsidRDefault="00D3621C" w:rsidP="00D3621C">
      <w:pPr>
        <w:shd w:val="clear" w:color="auto" w:fill="FFFFFF"/>
        <w:spacing w:after="360" w:line="240" w:lineRule="auto"/>
        <w:ind w:firstLine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2" w:name="n32"/>
      <w:bookmarkEnd w:id="32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proofErr w:type="spellStart"/>
      <w:proofErr w:type="gram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ідставами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відмови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прийнятті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рішення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є:</w:t>
      </w:r>
    </w:p>
    <w:p w:rsidR="00D3621C" w:rsidRPr="00D3621C" w:rsidRDefault="00D3621C" w:rsidP="00D3621C">
      <w:pPr>
        <w:shd w:val="clear" w:color="auto" w:fill="FFFFFF"/>
        <w:spacing w:after="360" w:line="240" w:lineRule="auto"/>
        <w:ind w:firstLine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3" w:name="n33"/>
      <w:bookmarkEnd w:id="33"/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невідповідність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умовам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визначеним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8" w:anchor="n25" w:history="1">
        <w:r w:rsidRPr="00D3621C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  <w:lang w:eastAsia="ru-RU"/>
          </w:rPr>
          <w:t>пунктом 7</w:t>
        </w:r>
      </w:hyperlink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Порядку;</w:t>
      </w:r>
    </w:p>
    <w:p w:rsidR="00D3621C" w:rsidRPr="00D3621C" w:rsidRDefault="00D3621C" w:rsidP="00D3621C">
      <w:pPr>
        <w:shd w:val="clear" w:color="auto" w:fill="FFFFFF"/>
        <w:spacing w:after="360" w:line="240" w:lineRule="auto"/>
        <w:ind w:firstLine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4" w:name="n34"/>
      <w:bookmarkEnd w:id="34"/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встановлення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обставин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відображені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документах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платника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3621C" w:rsidRPr="00D3621C" w:rsidRDefault="00D3621C" w:rsidP="00D3621C">
      <w:pPr>
        <w:shd w:val="clear" w:color="auto" w:fill="FFFFFF"/>
        <w:spacing w:after="360" w:line="240" w:lineRule="auto"/>
        <w:ind w:firstLine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5" w:name="n35"/>
      <w:bookmarkEnd w:id="35"/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недотримання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обов’язкових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вимог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визначених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цим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Порядком.</w:t>
      </w:r>
    </w:p>
    <w:p w:rsidR="00D3621C" w:rsidRPr="00D3621C" w:rsidRDefault="00D3621C" w:rsidP="00D3621C">
      <w:pPr>
        <w:shd w:val="clear" w:color="auto" w:fill="FFFFFF"/>
        <w:spacing w:after="360" w:line="240" w:lineRule="auto"/>
        <w:ind w:firstLine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6" w:name="n36"/>
      <w:bookmarkEnd w:id="36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відмови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прийнятті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митниця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письмово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повідомляє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платнику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зазначенням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підстав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такої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відмови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621C" w:rsidRPr="00D3621C" w:rsidRDefault="00D3621C" w:rsidP="00D3621C">
      <w:pPr>
        <w:shd w:val="clear" w:color="auto" w:fill="FFFFFF"/>
        <w:spacing w:after="360" w:line="240" w:lineRule="auto"/>
        <w:ind w:firstLine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7" w:name="n37"/>
      <w:bookmarkEnd w:id="37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Прийняті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обліковуються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журналі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реєстрації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формою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"https://zakon.rada.gov.ua/laws/show/85-2018-%D0%BF" \l "n48" </w:instrText>
      </w:r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D3621C">
        <w:rPr>
          <w:rFonts w:ascii="Times New Roman" w:eastAsia="Times New Roman" w:hAnsi="Times New Roman" w:cs="Times New Roman"/>
          <w:color w:val="006600"/>
          <w:sz w:val="28"/>
          <w:szCs w:val="28"/>
          <w:u w:val="single"/>
          <w:lang w:eastAsia="ru-RU"/>
        </w:rPr>
        <w:t>додатком</w:t>
      </w:r>
      <w:proofErr w:type="spellEnd"/>
      <w:r w:rsidRPr="00D3621C">
        <w:rPr>
          <w:rFonts w:ascii="Times New Roman" w:eastAsia="Times New Roman" w:hAnsi="Times New Roman" w:cs="Times New Roman"/>
          <w:color w:val="006600"/>
          <w:sz w:val="28"/>
          <w:szCs w:val="28"/>
          <w:u w:val="single"/>
          <w:lang w:eastAsia="ru-RU"/>
        </w:rPr>
        <w:t xml:space="preserve"> 3</w:t>
      </w:r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та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них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оприлюднюється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офіційному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веб-сайті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Держмитслужби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621C" w:rsidRPr="00D3621C" w:rsidRDefault="00D3621C" w:rsidP="00D3621C">
      <w:pPr>
        <w:shd w:val="clear" w:color="auto" w:fill="FFFFFF"/>
        <w:spacing w:after="360" w:line="240" w:lineRule="auto"/>
        <w:ind w:firstLine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8" w:name="n67"/>
      <w:bookmarkStart w:id="39" w:name="n38"/>
      <w:bookmarkEnd w:id="38"/>
      <w:bookmarkEnd w:id="39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Платник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отримав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митного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установленому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порядку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обладнання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сплачує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перший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платіж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надає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залишок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зобов’язань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розділу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X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Митного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кодексу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банківську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гарантію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видану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законодавства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621C" w:rsidRPr="00D3621C" w:rsidRDefault="00D3621C" w:rsidP="00D3621C">
      <w:pPr>
        <w:shd w:val="clear" w:color="auto" w:fill="FFFFFF"/>
        <w:spacing w:after="360" w:line="240" w:lineRule="auto"/>
        <w:ind w:firstLine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0" w:name="n39"/>
      <w:bookmarkEnd w:id="40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11.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Розстрочені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сплачуються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щомісяця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строк,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встановлений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поданням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додаткової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митної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декларації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якій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зазначаються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відомості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митну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вартість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обладнання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дату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поміщення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такого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обладнання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митний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режим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імпорту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621C" w:rsidRPr="00D3621C" w:rsidRDefault="00D3621C" w:rsidP="00D3621C">
      <w:pPr>
        <w:shd w:val="clear" w:color="auto" w:fill="FFFFFF"/>
        <w:spacing w:after="360" w:line="240" w:lineRule="auto"/>
        <w:ind w:firstLine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1" w:name="n40"/>
      <w:bookmarkEnd w:id="41"/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Платник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достроково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сплатити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розстрочену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суму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621C" w:rsidRPr="00D3621C" w:rsidRDefault="00D3621C" w:rsidP="00D3621C">
      <w:pPr>
        <w:shd w:val="clear" w:color="auto" w:fill="FFFFFF"/>
        <w:spacing w:after="360" w:line="240" w:lineRule="auto"/>
        <w:ind w:firstLine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2" w:name="n41"/>
      <w:bookmarkEnd w:id="42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коли сума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визначена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дату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поміщення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обладнання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митний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режим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імпорту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перевищує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розстрочену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суму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різниця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сплачується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інший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спосіб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розрахунку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відмінний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розстрочення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сплати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621C" w:rsidRPr="00D3621C" w:rsidRDefault="00D3621C" w:rsidP="00D3621C">
      <w:pPr>
        <w:shd w:val="clear" w:color="auto" w:fill="FFFFFF"/>
        <w:spacing w:after="360" w:line="240" w:lineRule="auto"/>
        <w:ind w:firstLine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3" w:name="n42"/>
      <w:bookmarkEnd w:id="43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Платник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якому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розстрочення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сплати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протягом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усього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періоду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користування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розстроченням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щомісяця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ізніше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наступного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робочого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дня за днем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сплати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розстроченої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подає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митниці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звіт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цільове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обладнання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ввезеного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митну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територію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власного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виробництва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території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 формою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"https://zakon.rada.gov.ua/laws/show/85-2018-%D0%BF" \l "n52" </w:instrText>
      </w:r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D3621C">
        <w:rPr>
          <w:rFonts w:ascii="Times New Roman" w:eastAsia="Times New Roman" w:hAnsi="Times New Roman" w:cs="Times New Roman"/>
          <w:color w:val="006600"/>
          <w:sz w:val="28"/>
          <w:szCs w:val="28"/>
          <w:u w:val="single"/>
          <w:lang w:eastAsia="ru-RU"/>
        </w:rPr>
        <w:t>додатком</w:t>
      </w:r>
      <w:proofErr w:type="spellEnd"/>
      <w:r w:rsidRPr="00D3621C">
        <w:rPr>
          <w:rFonts w:ascii="Times New Roman" w:eastAsia="Times New Roman" w:hAnsi="Times New Roman" w:cs="Times New Roman"/>
          <w:color w:val="006600"/>
          <w:sz w:val="28"/>
          <w:szCs w:val="28"/>
          <w:u w:val="single"/>
          <w:lang w:eastAsia="ru-RU"/>
        </w:rPr>
        <w:t xml:space="preserve"> 4</w:t>
      </w:r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D3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4548D" w:rsidRPr="00D3621C" w:rsidRDefault="00E4548D">
      <w:pPr>
        <w:rPr>
          <w:rFonts w:ascii="Times New Roman" w:hAnsi="Times New Roman" w:cs="Times New Roman"/>
          <w:sz w:val="28"/>
          <w:szCs w:val="28"/>
        </w:rPr>
      </w:pPr>
    </w:p>
    <w:sectPr w:rsidR="00E4548D" w:rsidRPr="00D3621C" w:rsidSect="00E4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D3621C"/>
    <w:rsid w:val="00D3621C"/>
    <w:rsid w:val="00E4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D3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D3621C"/>
  </w:style>
  <w:style w:type="paragraph" w:customStyle="1" w:styleId="rvps15">
    <w:name w:val="rvps15"/>
    <w:basedOn w:val="a"/>
    <w:rsid w:val="00D3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D3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21C"/>
  </w:style>
  <w:style w:type="paragraph" w:customStyle="1" w:styleId="rvps12">
    <w:name w:val="rvps12"/>
    <w:basedOn w:val="a"/>
    <w:rsid w:val="00D3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D3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3621C"/>
  </w:style>
  <w:style w:type="paragraph" w:customStyle="1" w:styleId="rvps2">
    <w:name w:val="rvps2"/>
    <w:basedOn w:val="a"/>
    <w:rsid w:val="00D3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D3621C"/>
  </w:style>
  <w:style w:type="character" w:styleId="a3">
    <w:name w:val="Hyperlink"/>
    <w:basedOn w:val="a0"/>
    <w:uiPriority w:val="99"/>
    <w:semiHidden/>
    <w:unhideWhenUsed/>
    <w:rsid w:val="00D36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57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1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5-2018-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755-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584%D0%B0-18" TargetMode="External"/><Relationship Id="rId5" Type="http://schemas.openxmlformats.org/officeDocument/2006/relationships/hyperlink" Target="https://zakon.rada.gov.ua/laws/show/2755-1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akon.rada.gov.ua/laws/show/584%D0%B0-1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1055</Words>
  <Characters>6019</Characters>
  <Application>Microsoft Office Word</Application>
  <DocSecurity>0</DocSecurity>
  <Lines>50</Lines>
  <Paragraphs>14</Paragraphs>
  <ScaleCrop>false</ScaleCrop>
  <Company>Grizli777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2022-02-08T12:34:00Z</dcterms:created>
  <dcterms:modified xsi:type="dcterms:W3CDTF">2022-02-08T12:37:00Z</dcterms:modified>
</cp:coreProperties>
</file>